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jc w:val="right"/>
        <w:rPr>
          <w:rFonts w:ascii="Times New Roman" w:hAnsi="Times New Roman" w:cs="Times New Roman"/>
          <w:b/>
        </w:rPr>
      </w:pPr>
      <w:r>
        <w:rPr>
          <w:rFonts w:ascii="Times New Roman" w:hAnsi="Times New Roman" w:cs="Times New Roman"/>
          <w:b/>
        </w:rPr>
        <w:t>Biểu số: 01/PCTN</w:t>
      </w:r>
    </w:p>
    <w:p>
      <w:pPr>
        <w:jc w:val="center"/>
        <w:rPr>
          <w:rFonts w:hint="default" w:ascii="Times New Roman" w:hAnsi="Times New Roman" w:cs="Times New Roman"/>
          <w:b/>
          <w:lang w:val="en-US"/>
        </w:rPr>
      </w:pPr>
      <w:r>
        <w:rPr>
          <w:rFonts w:ascii="Times New Roman" w:hAnsi="Times New Roman" w:cs="Times New Roman"/>
          <w:b/>
        </w:rPr>
        <w:t>TỔNG HỢP KẾT QUẢ VỀ CÔNG TÁC PHÒNG, CHỐNG THAM NHŨNG</w:t>
      </w:r>
      <w:r>
        <w:rPr>
          <w:rFonts w:hint="default" w:ascii="Times New Roman" w:hAnsi="Times New Roman" w:cs="Times New Roman"/>
          <w:b/>
          <w:lang w:val="en-US"/>
        </w:rPr>
        <w:t xml:space="preserve"> </w:t>
      </w:r>
      <w:r>
        <w:rPr>
          <w:rFonts w:hint="default" w:ascii="Times New Roman" w:hAnsi="Times New Roman" w:cs="Times New Roman"/>
          <w:b/>
          <w:lang w:val="en-US"/>
        </w:rPr>
        <w:br w:type="textWrapping"/>
      </w:r>
      <w:r>
        <w:rPr>
          <w:rFonts w:hint="default" w:ascii="Times New Roman" w:hAnsi="Times New Roman" w:cs="Times New Roman"/>
          <w:b/>
          <w:lang w:val="en-US"/>
        </w:rPr>
        <w:t>QUÝ II NĂM 2022</w:t>
      </w:r>
    </w:p>
    <w:p>
      <w:pPr>
        <w:jc w:val="center"/>
        <w:rPr>
          <w:rFonts w:hint="default" w:ascii="Times New Roman" w:hAnsi="Times New Roman" w:cs="Times New Roman"/>
          <w:i/>
          <w:lang w:val="en-US"/>
        </w:rPr>
      </w:pPr>
      <w:r>
        <w:rPr>
          <w:rFonts w:ascii="Times New Roman" w:hAnsi="Times New Roman" w:cs="Times New Roman"/>
          <w:i/>
          <w:lang w:val="en-US"/>
        </w:rPr>
        <w:t>Số liệu tính từ ngày 01/</w:t>
      </w:r>
      <w:r>
        <w:rPr>
          <w:rFonts w:hint="default" w:ascii="Times New Roman" w:hAnsi="Times New Roman" w:cs="Times New Roman"/>
          <w:i/>
          <w:lang w:val="en-US"/>
        </w:rPr>
        <w:t>3</w:t>
      </w:r>
      <w:r>
        <w:rPr>
          <w:rFonts w:ascii="Times New Roman" w:hAnsi="Times New Roman" w:cs="Times New Roman"/>
          <w:i/>
          <w:lang w:val="en-US"/>
        </w:rPr>
        <w:t>/202</w:t>
      </w:r>
      <w:r>
        <w:rPr>
          <w:rFonts w:hint="default" w:ascii="Times New Roman" w:hAnsi="Times New Roman" w:cs="Times New Roman"/>
          <w:i/>
          <w:lang w:val="en-US"/>
        </w:rPr>
        <w:t>2</w:t>
      </w:r>
      <w:r>
        <w:rPr>
          <w:rFonts w:ascii="Times New Roman" w:hAnsi="Times New Roman" w:cs="Times New Roman"/>
          <w:i/>
          <w:lang w:val="en-US"/>
        </w:rPr>
        <w:t xml:space="preserve"> đến ngày </w:t>
      </w:r>
      <w:r>
        <w:rPr>
          <w:rFonts w:hint="default" w:ascii="Times New Roman" w:hAnsi="Times New Roman" w:cs="Times New Roman"/>
          <w:i/>
          <w:lang w:val="en-US"/>
        </w:rPr>
        <w:t>30/4</w:t>
      </w:r>
      <w:r>
        <w:rPr>
          <w:rFonts w:ascii="Times New Roman" w:hAnsi="Times New Roman" w:cs="Times New Roman"/>
          <w:i/>
          <w:lang w:val="en-US"/>
        </w:rPr>
        <w:t>/202</w:t>
      </w:r>
      <w:r>
        <w:rPr>
          <w:rFonts w:hint="default" w:ascii="Times New Roman" w:hAnsi="Times New Roman" w:cs="Times New Roman"/>
          <w:i/>
          <w:lang w:val="en-US"/>
        </w:rPr>
        <w:t>2</w:t>
      </w:r>
    </w:p>
    <w:p>
      <w:pPr>
        <w:jc w:val="center"/>
        <w:rPr>
          <w:rFonts w:ascii="Times New Roman" w:hAnsi="Times New Roman" w:cs="Times New Roman"/>
          <w:i/>
          <w:lang w:val="en-US"/>
        </w:rPr>
      </w:pPr>
      <w:r>
        <w:rPr>
          <w:rFonts w:ascii="Times New Roman" w:hAnsi="Times New Roman" w:cs="Times New Roman"/>
          <w:i/>
          <w:lang w:val="en-US"/>
        </w:rPr>
        <w:t xml:space="preserve">Kèm theo Báo cáo số           /BC-SXD ngày     tháng </w:t>
      </w:r>
      <w:r>
        <w:rPr>
          <w:rFonts w:hint="default" w:ascii="Times New Roman" w:hAnsi="Times New Roman" w:cs="Times New Roman"/>
          <w:i/>
          <w:lang w:val="en-US"/>
        </w:rPr>
        <w:t>5</w:t>
      </w:r>
      <w:r>
        <w:rPr>
          <w:rFonts w:ascii="Times New Roman" w:hAnsi="Times New Roman" w:cs="Times New Roman"/>
          <w:i/>
          <w:lang w:val="en-US"/>
        </w:rPr>
        <w:t xml:space="preserve"> năm 202</w:t>
      </w:r>
      <w:r>
        <w:rPr>
          <w:rFonts w:hint="default" w:ascii="Times New Roman" w:hAnsi="Times New Roman" w:cs="Times New Roman"/>
          <w:i/>
          <w:lang w:val="en-US"/>
        </w:rPr>
        <w:t>2</w:t>
      </w:r>
      <w:r>
        <w:rPr>
          <w:rFonts w:ascii="Times New Roman" w:hAnsi="Times New Roman" w:cs="Times New Roman"/>
          <w:i/>
          <w:lang w:val="en-US"/>
        </w:rPr>
        <w:t xml:space="preserve"> của Sở Xây</w:t>
      </w:r>
      <w:bookmarkStart w:id="0" w:name="_GoBack"/>
      <w:bookmarkEnd w:id="0"/>
      <w:r>
        <w:rPr>
          <w:rFonts w:ascii="Times New Roman" w:hAnsi="Times New Roman" w:cs="Times New Roman"/>
          <w:i/>
          <w:lang w:val="en-US"/>
        </w:rPr>
        <w:t xml:space="preserve"> dựng</w:t>
      </w:r>
    </w:p>
    <w:p>
      <w:pPr>
        <w:jc w:val="center"/>
        <w:rPr>
          <w:rFonts w:ascii="Times New Roman" w:hAnsi="Times New Roman" w:cs="Times New Roman"/>
          <w:b/>
          <w:sz w:val="20"/>
          <w:lang w:val="en-US"/>
        </w:rPr>
      </w:pPr>
    </w:p>
    <w:tbl>
      <w:tblPr>
        <w:tblStyle w:val="3"/>
        <w:tblW w:w="521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2"/>
        <w:gridCol w:w="6926"/>
        <w:gridCol w:w="130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294" w:type="pct"/>
            <w:shd w:val="clear" w:color="auto" w:fill="FFFFFF"/>
            <w:vAlign w:val="center"/>
          </w:tcPr>
          <w:p>
            <w:pPr>
              <w:spacing w:before="120"/>
              <w:jc w:val="center"/>
              <w:rPr>
                <w:rFonts w:ascii="Times New Roman" w:hAnsi="Times New Roman" w:cs="Times New Roman"/>
                <w:b/>
                <w:sz w:val="20"/>
                <w:szCs w:val="20"/>
              </w:rPr>
            </w:pPr>
            <w:r>
              <w:rPr>
                <w:rFonts w:ascii="Times New Roman" w:hAnsi="Times New Roman" w:cs="Times New Roman"/>
                <w:b/>
                <w:sz w:val="20"/>
                <w:szCs w:val="20"/>
              </w:rPr>
              <w:t>MS</w:t>
            </w:r>
          </w:p>
        </w:tc>
        <w:tc>
          <w:tcPr>
            <w:tcW w:w="3439" w:type="pct"/>
            <w:shd w:val="clear" w:color="auto" w:fill="FFFFFF"/>
            <w:vAlign w:val="center"/>
          </w:tcPr>
          <w:p>
            <w:pPr>
              <w:spacing w:before="120"/>
              <w:jc w:val="center"/>
              <w:rPr>
                <w:rFonts w:ascii="Times New Roman" w:hAnsi="Times New Roman" w:cs="Times New Roman"/>
                <w:b/>
                <w:sz w:val="20"/>
                <w:szCs w:val="20"/>
              </w:rPr>
            </w:pPr>
            <w:r>
              <w:rPr>
                <w:rFonts w:ascii="Times New Roman" w:hAnsi="Times New Roman" w:cs="Times New Roman"/>
                <w:b/>
                <w:sz w:val="20"/>
                <w:szCs w:val="20"/>
              </w:rPr>
              <w:t>NỘI DUNG</w:t>
            </w:r>
          </w:p>
        </w:tc>
        <w:tc>
          <w:tcPr>
            <w:tcW w:w="646" w:type="pct"/>
            <w:shd w:val="clear" w:color="auto" w:fill="FFFFFF"/>
            <w:vAlign w:val="center"/>
          </w:tcPr>
          <w:p>
            <w:pPr>
              <w:spacing w:before="120"/>
              <w:jc w:val="center"/>
              <w:rPr>
                <w:rFonts w:ascii="Times New Roman" w:hAnsi="Times New Roman" w:cs="Times New Roman"/>
                <w:b/>
                <w:sz w:val="20"/>
                <w:szCs w:val="20"/>
              </w:rPr>
            </w:pPr>
            <w:r>
              <w:rPr>
                <w:rFonts w:ascii="Times New Roman" w:hAnsi="Times New Roman" w:cs="Times New Roman"/>
                <w:b/>
                <w:sz w:val="20"/>
                <w:szCs w:val="20"/>
              </w:rPr>
              <w:t>ĐVT</w:t>
            </w:r>
          </w:p>
        </w:tc>
        <w:tc>
          <w:tcPr>
            <w:tcW w:w="621" w:type="pct"/>
            <w:shd w:val="clear" w:color="auto" w:fill="FFFFFF"/>
            <w:vAlign w:val="center"/>
          </w:tcPr>
          <w:p>
            <w:pPr>
              <w:spacing w:before="120"/>
              <w:jc w:val="center"/>
              <w:rPr>
                <w:rFonts w:ascii="Times New Roman" w:hAnsi="Times New Roman" w:cs="Times New Roman"/>
                <w:b/>
                <w:sz w:val="20"/>
                <w:szCs w:val="20"/>
              </w:rPr>
            </w:pPr>
            <w:r>
              <w:rPr>
                <w:rFonts w:ascii="Times New Roman" w:hAnsi="Times New Roman" w:cs="Times New Roman"/>
                <w:b/>
                <w:sz w:val="20"/>
                <w:szCs w:val="20"/>
              </w:rPr>
              <w:t>SỐ LIỆU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b/>
                <w:sz w:val="20"/>
                <w:szCs w:val="20"/>
              </w:rPr>
            </w:pPr>
          </w:p>
        </w:tc>
        <w:tc>
          <w:tcPr>
            <w:tcW w:w="3439" w:type="pct"/>
            <w:shd w:val="clear" w:color="auto" w:fill="FFFFFF"/>
            <w:vAlign w:val="center"/>
          </w:tcPr>
          <w:p>
            <w:pPr>
              <w:spacing w:before="120"/>
              <w:rPr>
                <w:rFonts w:ascii="Times New Roman" w:hAnsi="Times New Roman" w:cs="Times New Roman"/>
                <w:b/>
                <w:sz w:val="20"/>
                <w:szCs w:val="20"/>
              </w:rPr>
            </w:pPr>
            <w:r>
              <w:rPr>
                <w:rFonts w:ascii="Times New Roman" w:hAnsi="Times New Roman" w:cs="Times New Roman"/>
                <w:b/>
                <w:sz w:val="20"/>
                <w:szCs w:val="20"/>
              </w:rPr>
              <w:t>CHÍNH SÁCH, PHÁP LUẬT</w:t>
            </w:r>
          </w:p>
        </w:tc>
        <w:tc>
          <w:tcPr>
            <w:tcW w:w="646" w:type="pct"/>
            <w:shd w:val="clear" w:color="auto" w:fill="FFFFFF"/>
            <w:vAlign w:val="center"/>
          </w:tcPr>
          <w:p>
            <w:pPr>
              <w:spacing w:before="120"/>
              <w:jc w:val="center"/>
              <w:rPr>
                <w:rFonts w:ascii="Times New Roman" w:hAnsi="Times New Roman" w:cs="Times New Roman"/>
                <w:b/>
                <w:sz w:val="20"/>
                <w:szCs w:val="20"/>
              </w:rPr>
            </w:pPr>
          </w:p>
        </w:tc>
        <w:tc>
          <w:tcPr>
            <w:tcW w:w="621" w:type="pct"/>
            <w:shd w:val="clear" w:color="auto" w:fill="FFFFFF"/>
            <w:vAlign w:val="center"/>
          </w:tcPr>
          <w:p>
            <w:pPr>
              <w:spacing w:before="120"/>
              <w:rPr>
                <w:rFonts w:ascii="Times New Roman" w:hAnsi="Times New Roman" w:cs="Times New Roman"/>
                <w:b/>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văn bản ban hành mới để thực hiện Luật PCTN và các văn bản hướng dẫn thi hành Luật PCTN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Văn bản</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lang w:val="en-US"/>
              </w:rPr>
              <w:t>0</w:t>
            </w:r>
            <w:r>
              <w:rPr>
                <w:rFonts w:hint="default" w:ascii="Times New Roman" w:hAnsi="Times New Roman" w:cs="Times New Roman"/>
                <w:sz w:val="20"/>
                <w:szCs w:val="20"/>
                <w:lang w:val="en-US"/>
              </w:rPr>
              <w:t>2</w:t>
            </w:r>
            <w:r>
              <w:rPr>
                <w:rStyle w:val="6"/>
                <w:rFonts w:ascii="Times New Roman" w:hAnsi="Times New Roman" w:cs="Times New Roman"/>
                <w:sz w:val="20"/>
                <w:szCs w:val="20"/>
                <w:lang w:val="en-US"/>
              </w:rPr>
              <w:footnoteReference w:id="0"/>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văn bản được sửa đổi, bổ sung để thực hiện Luật PCTN và các văn bản hướng dẫn thi hành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Văn bản</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văn bản được bãi bỏ để thực hiện Luật PCTN và các văn bản hướng dẫn thi hành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Văn bản</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sz w:val="20"/>
                <w:szCs w:val="20"/>
                <w:lang w:val="en-US"/>
              </w:rPr>
            </w:pPr>
            <w:r>
              <w:rPr>
                <w:rFonts w:ascii="Times New Roman" w:hAnsi="Times New Roman" w:cs="Times New Roman"/>
                <w:b/>
                <w:sz w:val="20"/>
                <w:szCs w:val="20"/>
              </w:rPr>
              <w:t>TUYÊN TRUYỀN, PHỔ BIẾN, GIÁO DỤC PHÁP LUẬT VỀ PCTN</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lớp tuyên truyền, quán triệt pháp luật về phòng, chống tham nhũng được tổ chức</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Lớp</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lượt cán bộ, công chức, viên chức, nhân dân tham gia các lớp tập huấn, quán triệt pháp luật về PCTN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Lượt người</w:t>
            </w:r>
          </w:p>
        </w:tc>
        <w:tc>
          <w:tcPr>
            <w:tcW w:w="621" w:type="pct"/>
            <w:shd w:val="clear" w:color="auto" w:fill="FFFFFF"/>
            <w:vAlign w:val="center"/>
          </w:tcPr>
          <w:p>
            <w:pPr>
              <w:spacing w:before="120"/>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lượng đầu sách, tài liệu về pháp luật phòng, chống tham nhũng được xuất bản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Tài liệu</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sz w:val="20"/>
                <w:szCs w:val="20"/>
              </w:rPr>
            </w:pPr>
            <w:r>
              <w:rPr>
                <w:rFonts w:ascii="Times New Roman" w:hAnsi="Times New Roman" w:cs="Times New Roman"/>
                <w:b/>
                <w:sz w:val="20"/>
                <w:szCs w:val="20"/>
              </w:rPr>
              <w:t>PHÒNG NGỪA THAM NHŨNG TRONG CƠ QUAN, TỔ CHỨC, ĐƠN VỊ</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Kết quả thực hiện công khai, minh bạch về tổ chức và hoạt động</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cơ quan, tổ chức, đơn vị được kiểm tra việc thực hiện các quy định về công khai, minh bạch về tổ chức và hoạt động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CQ, TC, ĐV</w:t>
            </w:r>
          </w:p>
        </w:tc>
        <w:tc>
          <w:tcPr>
            <w:tcW w:w="621" w:type="pct"/>
            <w:shd w:val="clear" w:color="auto" w:fill="FFFFFF"/>
            <w:vAlign w:val="center"/>
          </w:tcPr>
          <w:p>
            <w:pPr>
              <w:spacing w:before="120"/>
              <w:jc w:val="center"/>
              <w:rPr>
                <w:rFonts w:hint="default"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cơ quan, tổ chức, đơn vị bị phát hiện có vi phạm quy định về công khai, minh bạch về tổ chức và hoạt động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CQ, TC, ĐV</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Xây dựng và thực hiện định mức, tiêu chuẩn, chế độ</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văn bản về định mức, tiêu chuẩn, chế độ đã được ban hành mới</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Văn bản</w:t>
            </w:r>
          </w:p>
        </w:tc>
        <w:tc>
          <w:tcPr>
            <w:tcW w:w="621" w:type="pct"/>
            <w:shd w:val="clear" w:color="auto" w:fill="FFFFFF"/>
            <w:vAlign w:val="center"/>
          </w:tcPr>
          <w:p>
            <w:pPr>
              <w:spacing w:before="120"/>
              <w:jc w:val="center"/>
              <w:rPr>
                <w:rFonts w:hint="default"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văn bản về định mức, tiêu chuẩn, chế độ đã được sửa đổi, bổ sung, bãi bỏ</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Văn bản</w:t>
            </w:r>
          </w:p>
        </w:tc>
        <w:tc>
          <w:tcPr>
            <w:tcW w:w="621" w:type="pct"/>
            <w:shd w:val="clear" w:color="auto" w:fill="FFFFFF"/>
            <w:vAlign w:val="center"/>
          </w:tcPr>
          <w:p>
            <w:pPr>
              <w:spacing w:before="120"/>
              <w:jc w:val="center"/>
              <w:rPr>
                <w:rFonts w:hint="default"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cuộc thanh tra, kiểm tra việc thực hiện các quy định về định mức, tiêu chuẩn, chế độ</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Cuộc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vi phạm các quy định về định mức, tiêu chuẩn, chế độ</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vi phạm các quy định về định mức, tiêu chuẩn, chế độ</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vi phạm các quy định về định mức, tiêu chuẩn, chế độ đã bị xử lý hành chính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vi phạm các quy định về định mức, tiêu chuẩn, chế độ đã bị xử lý hình sự</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Tổng giá trị các vi phạm về định mức, tiêu chuẩn, chế độ được kiến nghị thu hồi và bồi thường (tiền Việt Nam + ngoại tệ, tài sản khác được quy đổi ra tiền Việt Nam)</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Tổng giá trị vi phạm định mức, tiêu chuẩn, chế độ đã được thu hồi và bồi thường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Thực hiện quy tắc ứng xử của người có chức vụ, quyền hạn</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cơ quan, tổ chức, đơn vị đã được kiểm tra việc thực hiện quy tắc ứng xử của người có chức vụ, quyền hạn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CQ, TC, ĐV</w:t>
            </w:r>
          </w:p>
        </w:tc>
        <w:tc>
          <w:tcPr>
            <w:tcW w:w="621" w:type="pct"/>
            <w:shd w:val="clear" w:color="auto" w:fill="FFFFFF"/>
            <w:vAlign w:val="center"/>
          </w:tcPr>
          <w:p>
            <w:pPr>
              <w:spacing w:before="120"/>
              <w:jc w:val="center"/>
              <w:rPr>
                <w:rFonts w:hint="default"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19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cán bộ, công chức, viên chức vi phạm quy tắc ứng xử, quy tắc đạo đức nghề nghiệp đã bị xử lý</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đã nộp lại quà tặng cho đơn vị</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Giá trị quà tặng đã được nộp lại (tiền Việt Nam + ngoại tệ, tài sản khác được quy đổi ra tiền Việt Nam)</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bị xử lý do có vi phạm vì xung đột lợi ích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bị xử lý do có vi phạm về việc kinh doanh trong thời hạn không được kinh doanh sau khi thôi giữ chức vụ</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Chuyển đổi vị trí công tác của người có chức vụ, quyền hạn</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cán bộ, công chức, viên chức được chuyển đổi vị trí công tác nhằm phòng ngừa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Cải cách hành chính, ứng dụng khoa học công nghệ trong quản lý và thanh toán không dùng tiền mặt</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thủ tục hành chính chính công được áp dụng tại Cơ quan, tổ chức, đơn vị</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Thủ tục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lang w:val="en-US"/>
              </w:rPr>
              <w:t>54</w:t>
            </w:r>
            <w:r>
              <w:rPr>
                <w:rStyle w:val="6"/>
                <w:rFonts w:ascii="Times New Roman" w:hAnsi="Times New Roman" w:cs="Times New Roman"/>
                <w:sz w:val="20"/>
                <w:szCs w:val="20"/>
                <w:lang w:val="en-US"/>
              </w:rPr>
              <w:footnoteReference w:id="1"/>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thủ tục hành chính chính công được áp dụng mức độ 3 hoặc 4 tại cơ quan, tổ chức, đơn vị</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Thủ tục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lang w:val="en-US"/>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thủ tục hành chính yêu cầu người dân, doanh nghiệp bổ sung hồ sơ từ 02 lần trở lên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Lượt thủ tục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cuộc kiểm tra, thanh tra việc thực hiện thanh toán không dùng tiền mặt</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Cuộc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29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phát hiện vi phạm trong việc thực hiện thanh toán không dùng tiền mặt</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Tổng giá trị giao dịch qua Hệ thống thanh toán điện tử liên ngân hàng (1)</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Tỷ trọng tiền mặt trên tổng phương tiện thanh toán (2)</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Thực hiện các quy định về kiểm soát tài sản, thu nhập của người có chức vụ, quyền hạn</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đã thực hiện kê khai tài sản, thu nhập trong kỳ</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lang w:val="en-US"/>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được xác minh việc kê khai tài sản, thu nhập</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cơ quan, tổ chức, đơn vị đã được kiểm tra việc thực hiện các quy định về kê khai, công khai bản kê khai tài sản, thu nhập</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CQ, TC, ĐV</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bị kỷ luật do vi phạm quy định về kiểm soát tài sản, thu nhập</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35.1</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Số người bị kỷ luật do kê khai tài sản, thu nhập không trung thực</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35.2</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Số người bị kỷ luật do có vi phạm khác về kiểm soát tài sản, thu nhập</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sz w:val="20"/>
                <w:szCs w:val="20"/>
              </w:rPr>
            </w:pPr>
            <w:r>
              <w:rPr>
                <w:rFonts w:ascii="Times New Roman" w:hAnsi="Times New Roman" w:cs="Times New Roman"/>
                <w:b/>
                <w:sz w:val="20"/>
                <w:szCs w:val="20"/>
              </w:rPr>
              <w:t>PHÁT HIỆN CÁC VỤ VIỆC THAM NHŨNG TRONG CƠ QUAN, Tổ CHỨC, ĐƠN VỊ</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2" w:hRule="atLeast"/>
        </w:trPr>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Tổng số vụ việc tham nhũng được phát hiện trong kỳ báo cáo</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Tổng số đối tượng có hành vi tham nhũng được phát hiện trong kỳ báo cáo</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Qua công tác kiểm tra và tự kiểm tra của cơ quan, tổ chức, đơn vị</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đã được phát hiện qua công tác kiểm tra của cơ quan quản lý nhà nước</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39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được phát hiện qua công tác kiểm tra của cơ quan quản lý nhà nước</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được phát hiện qua công tác tự kiểm tra</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được phát hiện qua công tác tự kiểm tra</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được phát hiện qua kiểm tra hoạt động chống tham nhũng trong cơ quan có chức năng phòng, chống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Trong đó số vụ tham nhũng được phát hiện qua kiểm tra hoạt động chống tham nhũng trong cơ quan thanh tra</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được phát hiện qua kiểm tra hoạt động chống tham nhũng trong cơ quan có chức năng phòng, chống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Trong đó số đối tượng có hành vi tham nhũng được phát hiện qua kiểm tra hoạt động chống tham nhũng trong cơ quan thanh tra</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Qua hoạt động giám sát, thanh tra, kiểm toán</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được phát hiện thông qua hoạt động giám sát của cơ quan dân cư, đại biểu dân cư và xử lý đề nghị của cơ quan dân cư, đại biểu dân cử</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được phát hiện thông qua hoạt động giám sát của cơ quan dân cử, đại biểu dân cử và xử lý đề nghị của cơ quan dân cử, đại biểu dân cử</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được phát hiện thông qua hoạt động thanh tra</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được phát hiện qua hoạt động thanh tra</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được phát hiện thông qua hoạt động kiểm toán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49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được phát hiện thông qua hoạt động kiểm toán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Qua xem xét phản ánh, báo cáo về hành vi tham nhũng</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việc có phản ánh, báo cáo về hành vi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 việc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việc có phản ánh, báo cáo về hành vi tham nhũng đã được xem xét</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 việc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phát hiện thông qua xem xét nội dung phản ánh, báo cáo về hành vi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br w:type="page"/>
            </w:r>
            <w:r>
              <w:rPr>
                <w:rFonts w:ascii="Times New Roman" w:hAnsi="Times New Roman" w:cs="Times New Roman"/>
                <w:sz w:val="20"/>
                <w:szCs w:val="20"/>
              </w:rPr>
              <w:t>53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phát hiện thông qua xem xét nội dung phản ánh, báo cáo về hành vi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Qua công tác giải quyết khiếu nại, tố cáo</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được phát hiện thông qua giải quyết khiếu nại, tố cáo</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phát hiện qua giải quyết khiếu nại, tố cáo</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Qua các hoạt động khác (ngoài những hoạt động nêu trên, nếu có)</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được phát hiện thông qua các hoạt động khác</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phát hiện qua các hoạt động khác</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Qua điều tra tội phạm</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án tham nhũng (thuộc phạm vi quản lý) đã được cơ quan chức năng khởi tố</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59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tham nhũng (thuộc phạm vi quản lý) đã bị cơ quan chức năng khởi tố</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Bảo vệ, khen thưởng người tố cáo, phát hiện tham nhũng</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tố cáo hành vi tham nhũng được được bảo vệ theo quy định của pháp luật về tố cáo</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tố cáo hành vi tham nhũng bị trả thù</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đã bị xử lý do có hành vi trả thù người tố cáo</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tố cáo hành vi tham nhũng đã được khen, thưởng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8" w:hRule="atLeast"/>
        </w:trPr>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sz w:val="20"/>
                <w:szCs w:val="20"/>
              </w:rPr>
            </w:pPr>
            <w:r>
              <w:rPr>
                <w:rFonts w:ascii="Times New Roman" w:hAnsi="Times New Roman" w:cs="Times New Roman"/>
                <w:b/>
                <w:sz w:val="20"/>
                <w:szCs w:val="20"/>
              </w:rPr>
              <w:t>XỬ LÝ TRÁCH NHIỆM CỦA NGƯỜI ĐỨNG ĐẦU CƠ QUAN, TỔ CHỨC, ĐƠN VỊ KHI ĐỂ XẢY RA THAM NHŨNG</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đứng đầu, cấp phó người đứng đầu bị kết luận là thiếu trách nhiệm để xảy ra hành vi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đứng đầu, cấp phó người đứng đầu đã bị xử lý hình sự do thiếu trách nhiệm để xảy ra hành vi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người đứng đầu, cấp phó người đứng đầu bị xử lý kỷ luật do thiếu trách nhiệm để xảy ra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66.1</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Khiển trách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66.2</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Cảnh cáo</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66.3</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Cách chức</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sz w:val="20"/>
                <w:szCs w:val="20"/>
              </w:rPr>
            </w:pPr>
            <w:r>
              <w:rPr>
                <w:rFonts w:ascii="Times New Roman" w:hAnsi="Times New Roman" w:cs="Times New Roman"/>
                <w:b/>
                <w:sz w:val="20"/>
                <w:szCs w:val="20"/>
              </w:rPr>
              <w:t>XỬ LÝ THAM NHŨNG TRONG CƠ QUAN, TỔ CHỨC, ĐƠN VỊ</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án tham nhũng đã đưa ra xét xử (địa phương thống kê kết quả xét xử sơ thẩm của tòa án; bộ, ngành thống kê theo kết quả xét xử sơ thẩm đối với các vụ án xảy ra trong phạm vi quản lý trực tiếp)</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bị kết án tham nhũng (địa phương thống kê kết quả xét xử sơ thẩm của tòa án; bộ, ngành thống kê theo kết quả xét xử sơ thẩm đối với các vụ án xảy ra trong phạm vi quản lý trực tiếp) trong đó:</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68.1</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Số đối tượng phạm tội tham nhũng ít nghiêm trọng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68.2</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Số đối tượng phạm tội tham nhũng nghiêm trọng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68.3</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Số đối tượng phạm tội tham nhũng rất nghiêm trọng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68.4</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Số đối tượng phạm tội tham nhũng đặc biệt nghiêm trọng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69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việc tham nhũng đã được xử lý hành chính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cán bộ, công chức, viên chức bị xử lý kỷ luật hành chính về hành vi tham nhũng</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việc tham nhũng đã được phát hiện, đang được xem xét để xử lý (chưa có kết quả xử lý)</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tham nhũng đã được phát hiện, đang được xem xét để xử lý (chưa có kết quả xử lý)</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Tài sản bị tham nhũng, gây thiệt hại do tham nhũng đã phát hiện được</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Bằng tiền (tiền Việt Nam + ngoại tệ, tài sản khác được quy đổi ra tiền Việt Nam)</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Đất đai</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2</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i/>
                <w:sz w:val="20"/>
                <w:szCs w:val="20"/>
              </w:rPr>
            </w:pPr>
            <w:r>
              <w:rPr>
                <w:rFonts w:ascii="Times New Roman" w:hAnsi="Times New Roman" w:cs="Times New Roman"/>
                <w:b/>
                <w:i/>
                <w:sz w:val="20"/>
                <w:szCs w:val="20"/>
              </w:rPr>
              <w:t>Tài sản tham nhũng, gây thiệt hại do tham nhũng đã được thu hồi, bồi thường</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Bằng tiền (tiền Việt Nam + ngoại tệ, tài sản khác được quy đổi ra tiền Việt Nam)</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75.1</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Kết quả thu hồi tiền bằng biện pháp hành chính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75.2</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Kết quả thu hồi tiền bằng biện pháp tư pháp</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br w:type="page"/>
            </w:r>
            <w:r>
              <w:rPr>
                <w:rFonts w:ascii="Times New Roman" w:hAnsi="Times New Roman" w:cs="Times New Roman"/>
                <w:sz w:val="20"/>
                <w:szCs w:val="20"/>
              </w:rPr>
              <w:t>76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Đất đai</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2</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76.1</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Kết quả thu hồi đất bằng biện pháp hành chính</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2</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i/>
                <w:sz w:val="20"/>
                <w:szCs w:val="20"/>
              </w:rPr>
            </w:pPr>
            <w:r>
              <w:rPr>
                <w:rFonts w:ascii="Times New Roman" w:hAnsi="Times New Roman" w:cs="Times New Roman"/>
                <w:i/>
                <w:sz w:val="20"/>
                <w:szCs w:val="20"/>
              </w:rPr>
              <w:t>76.2</w:t>
            </w: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 Kết quả thu hồi đất bằng biện pháp tư pháp</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2</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i/>
                <w:sz w:val="20"/>
                <w:szCs w:val="20"/>
              </w:rPr>
            </w:pPr>
            <w:r>
              <w:rPr>
                <w:rFonts w:ascii="Times New Roman" w:hAnsi="Times New Roman" w:cs="Times New Roman"/>
                <w:i/>
                <w:sz w:val="20"/>
                <w:szCs w:val="20"/>
              </w:rPr>
              <w:t>Tài sản tham nhũng, gây thiệt hại do tham nhũng không thể thu hồi, khắc phục được</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77</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Bằng tiền (tiền Việt Nam + ngoại tệ, tài sản khác được quy đổi ra tiền Việt Nam)</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78</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Đất đai</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vertAlign w:val="superscript"/>
              </w:rPr>
              <w:t>2</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p>
        </w:tc>
        <w:tc>
          <w:tcPr>
            <w:tcW w:w="3439" w:type="pct"/>
            <w:shd w:val="clear" w:color="auto" w:fill="FFFFFF"/>
            <w:vAlign w:val="center"/>
          </w:tcPr>
          <w:p>
            <w:pPr>
              <w:spacing w:before="120"/>
              <w:rPr>
                <w:rFonts w:ascii="Times New Roman" w:hAnsi="Times New Roman" w:cs="Times New Roman"/>
                <w:b/>
                <w:sz w:val="20"/>
                <w:szCs w:val="20"/>
              </w:rPr>
            </w:pPr>
            <w:r>
              <w:rPr>
                <w:rFonts w:ascii="Times New Roman" w:hAnsi="Times New Roman" w:cs="Times New Roman"/>
                <w:b/>
                <w:sz w:val="20"/>
                <w:szCs w:val="20"/>
              </w:rPr>
              <w:t>PH</w:t>
            </w:r>
            <w:r>
              <w:rPr>
                <w:rFonts w:ascii="Times New Roman" w:hAnsi="Times New Roman" w:cs="Times New Roman"/>
                <w:b/>
                <w:sz w:val="20"/>
                <w:szCs w:val="20"/>
                <w:lang w:val="en-US"/>
              </w:rPr>
              <w:t>Ò</w:t>
            </w:r>
            <w:r>
              <w:rPr>
                <w:rFonts w:ascii="Times New Roman" w:hAnsi="Times New Roman" w:cs="Times New Roman"/>
                <w:b/>
                <w:sz w:val="20"/>
                <w:szCs w:val="20"/>
              </w:rPr>
              <w:t>NG, CHỐNG THAM NHŨNG TRONG DOANH NGHIỆP, TỔ CHỨC KHU VỰC NGOÀI NHÀ NƯỚC</w:t>
            </w:r>
          </w:p>
        </w:tc>
        <w:tc>
          <w:tcPr>
            <w:tcW w:w="646" w:type="pct"/>
            <w:shd w:val="clear" w:color="auto" w:fill="FFFFFF"/>
            <w:vAlign w:val="center"/>
          </w:tcPr>
          <w:p>
            <w:pPr>
              <w:spacing w:before="120"/>
              <w:jc w:val="center"/>
              <w:rPr>
                <w:rFonts w:ascii="Times New Roman" w:hAnsi="Times New Roman" w:cs="Times New Roman"/>
                <w:sz w:val="20"/>
                <w:szCs w:val="20"/>
              </w:rPr>
            </w:pPr>
          </w:p>
        </w:tc>
        <w:tc>
          <w:tcPr>
            <w:tcW w:w="621" w:type="pct"/>
            <w:shd w:val="clear" w:color="auto" w:fill="FFFFFF"/>
            <w:vAlign w:val="center"/>
          </w:tcPr>
          <w:p>
            <w:pPr>
              <w:spacing w:before="120"/>
              <w:jc w:val="center"/>
              <w:rPr>
                <w:rFonts w:ascii="Times New Roman" w:hAnsi="Times New Roman" w:cs="Times New Roman"/>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79</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công ty đại chúng, tổ chức tín dụng, tổ chức xã hội (quy định tại Khoản 1 Điều 80 Luật PCTN) thuộc phạm vi quản lý</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Tổ chức</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80</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công ty đại chúng, tổ chức tín dụng, tổ chức xã hội (quy định tại Khoản 1 Điều 80 Luật PCTN) được thanh tra, kiểm tra việc thực hiện pháp luật về PCTN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Tổ chức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81</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công ty đại chúng, tổ chức tín dụng, tổ chức xã hội (quy định tại Khoản 1 Điều 80 Luật PCTN) bị xử lý do có vi phạm pháp luật về PCTN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Tổ chức</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82</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vụ tham nhũng trong khu vực ngoài nhà nước thuộc phạm vi quản lý được phát hiện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Vụ</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83</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trong khu vực ngoài nhà nước thuộc phạm vi quản lý được phát hiện</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84</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Số đối tượng có hành vi tham nhũng trong khu vực ngoài nhà nước thuộc phạm vi quản lý đã bị xử lý hình sự</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Người</w:t>
            </w:r>
          </w:p>
        </w:tc>
        <w:tc>
          <w:tcPr>
            <w:tcW w:w="621"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85</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Thiệt hại gây ra bởi các vụ tham nhũng trong khu vực ngoài nhà nước thuộc phạm vi quản lý (tiền Việt Nam + ngoại tệ, tài sản khác được quy đổi ra tiền Việt Nam)</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94"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86</w:t>
            </w:r>
          </w:p>
        </w:tc>
        <w:tc>
          <w:tcPr>
            <w:tcW w:w="3439" w:type="pct"/>
            <w:shd w:val="clear" w:color="auto" w:fill="FFFFFF"/>
            <w:vAlign w:val="center"/>
          </w:tcPr>
          <w:p>
            <w:pPr>
              <w:spacing w:before="120"/>
              <w:rPr>
                <w:rFonts w:ascii="Times New Roman" w:hAnsi="Times New Roman" w:cs="Times New Roman"/>
                <w:sz w:val="20"/>
                <w:szCs w:val="20"/>
              </w:rPr>
            </w:pPr>
            <w:r>
              <w:rPr>
                <w:rFonts w:ascii="Times New Roman" w:hAnsi="Times New Roman" w:cs="Times New Roman"/>
                <w:sz w:val="20"/>
                <w:szCs w:val="20"/>
              </w:rPr>
              <w:t>Kết quả thu hồi tài sản tham nhũng trong khu vực ngoài nhà nước thuộc phạm vi quản lý (tiền Việt Nam + ngoại tệ, tài sản khác được quy đổi ra tiền Việt Nam)</w:t>
            </w:r>
          </w:p>
        </w:tc>
        <w:tc>
          <w:tcPr>
            <w:tcW w:w="646" w:type="pct"/>
            <w:shd w:val="clear" w:color="auto" w:fill="FFFFFF"/>
            <w:vAlign w:val="center"/>
          </w:tcPr>
          <w:p>
            <w:pPr>
              <w:spacing w:before="120"/>
              <w:jc w:val="center"/>
              <w:rPr>
                <w:rFonts w:ascii="Times New Roman" w:hAnsi="Times New Roman" w:cs="Times New Roman"/>
                <w:sz w:val="20"/>
                <w:szCs w:val="20"/>
              </w:rPr>
            </w:pPr>
            <w:r>
              <w:rPr>
                <w:rFonts w:ascii="Times New Roman" w:hAnsi="Times New Roman" w:cs="Times New Roman"/>
                <w:sz w:val="20"/>
                <w:szCs w:val="20"/>
              </w:rPr>
              <w:t>Triệu đồng</w:t>
            </w:r>
          </w:p>
        </w:tc>
        <w:tc>
          <w:tcPr>
            <w:tcW w:w="621" w:type="pct"/>
            <w:shd w:val="clear" w:color="auto" w:fill="FFFFFF"/>
            <w:vAlign w:val="center"/>
          </w:tcPr>
          <w:p>
            <w:pPr>
              <w:spacing w:before="120"/>
              <w:jc w:val="center"/>
              <w:rPr>
                <w:rFonts w:ascii="Times New Roman" w:hAnsi="Times New Roman" w:cs="Times New Roman"/>
                <w:sz w:val="20"/>
                <w:szCs w:val="20"/>
                <w:lang w:val="en-US"/>
              </w:rPr>
            </w:pPr>
            <w:r>
              <w:rPr>
                <w:rFonts w:ascii="Times New Roman" w:hAnsi="Times New Roman" w:cs="Times New Roman"/>
                <w:sz w:val="20"/>
                <w:szCs w:val="20"/>
              </w:rPr>
              <w:t>Không có</w:t>
            </w:r>
          </w:p>
        </w:tc>
      </w:tr>
    </w:tbl>
    <w:p>
      <w:pPr>
        <w:spacing w:before="120"/>
        <w:rPr>
          <w:rFonts w:ascii="Times New Roman" w:hAnsi="Times New Roman" w:cs="Times New Roman"/>
          <w:b/>
          <w:i/>
          <w:sz w:val="20"/>
        </w:rPr>
      </w:pPr>
      <w:r>
        <w:rPr>
          <w:rFonts w:ascii="Times New Roman" w:hAnsi="Times New Roman" w:cs="Times New Roman"/>
          <w:b/>
          <w:i/>
          <w:sz w:val="20"/>
        </w:rPr>
        <w:t>Ghi chú:</w:t>
      </w:r>
    </w:p>
    <w:p>
      <w:pPr>
        <w:spacing w:before="120"/>
        <w:rPr>
          <w:rFonts w:ascii="Times New Roman" w:hAnsi="Times New Roman" w:cs="Times New Roman"/>
          <w:sz w:val="20"/>
        </w:rPr>
      </w:pPr>
      <w:r>
        <w:rPr>
          <w:rFonts w:ascii="Times New Roman" w:hAnsi="Times New Roman" w:cs="Times New Roman"/>
          <w:sz w:val="20"/>
        </w:rPr>
        <w:t>- Khi báo cáo các đơn vị không sửa đổi nội dung các tiêu chí thống kê trong biểu số liệu</w:t>
      </w:r>
    </w:p>
    <w:p>
      <w:pPr>
        <w:spacing w:before="120"/>
        <w:rPr>
          <w:rFonts w:ascii="Times New Roman" w:hAnsi="Times New Roman" w:cs="Times New Roman"/>
          <w:sz w:val="20"/>
        </w:rPr>
      </w:pPr>
      <w:r>
        <w:rPr>
          <w:rFonts w:ascii="Times New Roman" w:hAnsi="Times New Roman" w:cs="Times New Roman"/>
          <w:sz w:val="20"/>
        </w:rPr>
        <w:t>- Không thống kê số liệu vào những mục nội dung mà cột mã số (MS) và cột đơn vị tính trong biểu mẫu để trống.</w:t>
      </w:r>
    </w:p>
    <w:p>
      <w:pPr>
        <w:spacing w:before="120"/>
        <w:rPr>
          <w:rFonts w:ascii="Times New Roman" w:hAnsi="Times New Roman" w:cs="Times New Roman"/>
          <w:sz w:val="20"/>
        </w:rPr>
      </w:pPr>
      <w:r>
        <w:rPr>
          <w:rFonts w:ascii="Times New Roman" w:hAnsi="Times New Roman" w:cs="Times New Roman"/>
          <w:sz w:val="20"/>
        </w:rPr>
        <w:t>- Các địa phương chỉ đưa vào biểu mẫu này số liệu thống kê về kết quả công tác PCTN của địa phương, không thống kê kết quả của các cơ quan Trung ương tổ chức theo ngành dọc đóng trên địa bàn</w:t>
      </w:r>
    </w:p>
    <w:p>
      <w:pPr>
        <w:spacing w:before="120"/>
        <w:rPr>
          <w:rFonts w:ascii="Times New Roman" w:hAnsi="Times New Roman" w:cs="Times New Roman"/>
          <w:sz w:val="20"/>
        </w:rPr>
      </w:pPr>
      <w:r>
        <w:rPr>
          <w:rFonts w:ascii="Times New Roman" w:hAnsi="Times New Roman" w:cs="Times New Roman"/>
          <w:sz w:val="20"/>
        </w:rPr>
        <w:t>- (1) Số liệu của Ngân hàng Nhà nước Báo cáo</w:t>
      </w:r>
    </w:p>
    <w:p>
      <w:pPr>
        <w:spacing w:before="120"/>
        <w:rPr>
          <w:rFonts w:ascii="Times New Roman" w:hAnsi="Times New Roman" w:cs="Times New Roman"/>
          <w:sz w:val="20"/>
        </w:rPr>
      </w:pPr>
      <w:r>
        <w:rPr>
          <w:rFonts w:ascii="Times New Roman" w:hAnsi="Times New Roman" w:cs="Times New Roman"/>
          <w:sz w:val="20"/>
        </w:rPr>
        <w:t>- (2) Số liệu của Ngân hàng Nhà nước Báo cáo</w:t>
      </w:r>
    </w:p>
    <w:p>
      <w:pPr>
        <w:widowControl/>
        <w:spacing w:after="160" w:line="259" w:lineRule="auto"/>
        <w:rPr>
          <w:rFonts w:ascii="Times New Roman" w:hAnsi="Times New Roman" w:cs="Times New Roman"/>
          <w:sz w:val="20"/>
          <w:lang w:val="en-US"/>
        </w:rPr>
      </w:pPr>
      <w:r>
        <w:rPr>
          <w:rFonts w:ascii="Times New Roman" w:hAnsi="Times New Roman" w:cs="Times New Roman"/>
          <w:sz w:val="20"/>
        </w:rPr>
        <w:br w:type="page"/>
      </w:r>
    </w:p>
    <w:p>
      <w:pPr>
        <w:spacing w:before="120"/>
        <w:jc w:val="right"/>
        <w:rPr>
          <w:rFonts w:ascii="Times New Roman" w:hAnsi="Times New Roman" w:cs="Times New Roman"/>
          <w:b/>
          <w:sz w:val="20"/>
          <w:lang w:val="en-US"/>
        </w:rPr>
      </w:pPr>
      <w:r>
        <w:rPr>
          <w:rFonts w:ascii="Times New Roman" w:hAnsi="Times New Roman" w:cs="Times New Roman"/>
          <w:b/>
          <w:sz w:val="20"/>
        </w:rPr>
        <w:t>Biểu số: 02/PCTN</w:t>
      </w:r>
    </w:p>
    <w:p>
      <w:pPr>
        <w:jc w:val="center"/>
        <w:rPr>
          <w:rFonts w:hint="default" w:ascii="Times New Roman" w:hAnsi="Times New Roman" w:cs="Times New Roman"/>
          <w:i/>
          <w:lang w:val="en-US"/>
        </w:rPr>
      </w:pPr>
      <w:r>
        <w:rPr>
          <w:rFonts w:ascii="Times New Roman" w:hAnsi="Times New Roman" w:cs="Times New Roman"/>
          <w:b/>
        </w:rPr>
        <w:t>DANH SÁCH CÁC VỤ THAM NHŨNG ĐƯỢC PHÁT HIỆN TRONG KỲ</w:t>
      </w:r>
      <w:r>
        <w:rPr>
          <w:rFonts w:ascii="Times New Roman" w:hAnsi="Times New Roman" w:cs="Times New Roman"/>
          <w:b/>
          <w:lang w:val="en-US"/>
        </w:rPr>
        <w:br w:type="textWrapping"/>
      </w:r>
      <w:r>
        <w:rPr>
          <w:rFonts w:ascii="Times New Roman" w:hAnsi="Times New Roman" w:cs="Times New Roman"/>
          <w:i/>
          <w:lang w:val="en-US"/>
        </w:rPr>
        <w:t>Số liệu tính từ ngày 01/</w:t>
      </w:r>
      <w:r>
        <w:rPr>
          <w:rFonts w:hint="default" w:ascii="Times New Roman" w:hAnsi="Times New Roman" w:cs="Times New Roman"/>
          <w:i/>
          <w:lang w:val="en-US"/>
        </w:rPr>
        <w:t>3</w:t>
      </w:r>
      <w:r>
        <w:rPr>
          <w:rFonts w:ascii="Times New Roman" w:hAnsi="Times New Roman" w:cs="Times New Roman"/>
          <w:i/>
          <w:lang w:val="en-US"/>
        </w:rPr>
        <w:t>/202</w:t>
      </w:r>
      <w:r>
        <w:rPr>
          <w:rFonts w:hint="default" w:ascii="Times New Roman" w:hAnsi="Times New Roman" w:cs="Times New Roman"/>
          <w:i/>
          <w:lang w:val="en-US"/>
        </w:rPr>
        <w:t>2</w:t>
      </w:r>
      <w:r>
        <w:rPr>
          <w:rFonts w:ascii="Times New Roman" w:hAnsi="Times New Roman" w:cs="Times New Roman"/>
          <w:i/>
          <w:lang w:val="en-US"/>
        </w:rPr>
        <w:t xml:space="preserve"> đến ngày </w:t>
      </w:r>
      <w:r>
        <w:rPr>
          <w:rFonts w:hint="default" w:ascii="Times New Roman" w:hAnsi="Times New Roman" w:cs="Times New Roman"/>
          <w:i/>
          <w:lang w:val="en-US"/>
        </w:rPr>
        <w:t>30/4</w:t>
      </w:r>
      <w:r>
        <w:rPr>
          <w:rFonts w:ascii="Times New Roman" w:hAnsi="Times New Roman" w:cs="Times New Roman"/>
          <w:i/>
          <w:lang w:val="en-US"/>
        </w:rPr>
        <w:t>/202</w:t>
      </w:r>
      <w:r>
        <w:rPr>
          <w:rFonts w:hint="default" w:ascii="Times New Roman" w:hAnsi="Times New Roman" w:cs="Times New Roman"/>
          <w:i/>
          <w:lang w:val="en-US"/>
        </w:rPr>
        <w:t>2</w:t>
      </w:r>
    </w:p>
    <w:p>
      <w:pPr>
        <w:jc w:val="center"/>
        <w:rPr>
          <w:rFonts w:ascii="Times New Roman" w:hAnsi="Times New Roman" w:cs="Times New Roman"/>
          <w:i/>
          <w:lang w:val="en-US"/>
        </w:rPr>
      </w:pPr>
      <w:r>
        <w:rPr>
          <w:rFonts w:ascii="Times New Roman" w:hAnsi="Times New Roman" w:cs="Times New Roman"/>
          <w:i/>
          <w:lang w:val="en-US"/>
        </w:rPr>
        <w:t xml:space="preserve">Kèm theo Báo cáo số           /BC-SXD ngày     tháng </w:t>
      </w:r>
      <w:r>
        <w:rPr>
          <w:rFonts w:hint="default" w:ascii="Times New Roman" w:hAnsi="Times New Roman" w:cs="Times New Roman"/>
          <w:i/>
          <w:lang w:val="en-US"/>
        </w:rPr>
        <w:t>5</w:t>
      </w:r>
      <w:r>
        <w:rPr>
          <w:rFonts w:ascii="Times New Roman" w:hAnsi="Times New Roman" w:cs="Times New Roman"/>
          <w:i/>
          <w:lang w:val="en-US"/>
        </w:rPr>
        <w:t xml:space="preserve"> năm 202</w:t>
      </w:r>
      <w:r>
        <w:rPr>
          <w:rFonts w:hint="default" w:ascii="Times New Roman" w:hAnsi="Times New Roman" w:cs="Times New Roman"/>
          <w:i/>
          <w:lang w:val="en-US"/>
        </w:rPr>
        <w:t>2</w:t>
      </w:r>
      <w:r>
        <w:rPr>
          <w:rFonts w:ascii="Times New Roman" w:hAnsi="Times New Roman" w:cs="Times New Roman"/>
          <w:i/>
          <w:lang w:val="en-US"/>
        </w:rPr>
        <w:t xml:space="preserve"> của Sở Xây dựng</w:t>
      </w:r>
    </w:p>
    <w:p>
      <w:pPr>
        <w:jc w:val="center"/>
        <w:rPr>
          <w:rFonts w:ascii="Times New Roman" w:hAnsi="Times New Roman" w:cs="Times New Roman"/>
          <w:i/>
          <w:lang w:val="en-US"/>
        </w:rPr>
      </w:pPr>
    </w:p>
    <w:p>
      <w:pPr>
        <w:jc w:val="both"/>
        <w:rPr>
          <w:rFonts w:ascii="Times New Roman" w:hAnsi="Times New Roman" w:cs="Times New Roman"/>
          <w:i/>
          <w:lang w:val="en-US"/>
        </w:rPr>
      </w:pPr>
    </w:p>
    <w:p>
      <w:pPr>
        <w:jc w:val="center"/>
        <w:rPr>
          <w:rFonts w:ascii="Times New Roman" w:hAnsi="Times New Roman" w:cs="Times New Roman"/>
          <w:b/>
          <w:sz w:val="20"/>
          <w:lang w:val="en-US"/>
        </w:rPr>
      </w:pP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84"/>
        <w:gridCol w:w="2372"/>
        <w:gridCol w:w="1550"/>
        <w:gridCol w:w="2186"/>
        <w:gridCol w:w="2489"/>
        <w:gridCol w:w="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51" w:type="pct"/>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TT</w:t>
            </w:r>
          </w:p>
        </w:tc>
        <w:tc>
          <w:tcPr>
            <w:tcW w:w="1229" w:type="pct"/>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Tên vụ</w:t>
            </w:r>
          </w:p>
        </w:tc>
        <w:tc>
          <w:tcPr>
            <w:tcW w:w="803" w:type="pct"/>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Tên cơ quan, tổ chức, đơn vị xảy ra sự việc</w:t>
            </w:r>
          </w:p>
        </w:tc>
        <w:tc>
          <w:tcPr>
            <w:tcW w:w="1133" w:type="pct"/>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Cơ quan thụ lý, giải quyết vụ việc</w:t>
            </w:r>
          </w:p>
        </w:tc>
        <w:tc>
          <w:tcPr>
            <w:tcW w:w="1290" w:type="pct"/>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Tóm tắt nội dung vụ việc</w:t>
            </w:r>
          </w:p>
        </w:tc>
        <w:tc>
          <w:tcPr>
            <w:tcW w:w="294" w:type="pct"/>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51" w:type="pct"/>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1</w:t>
            </w:r>
          </w:p>
        </w:tc>
        <w:tc>
          <w:tcPr>
            <w:tcW w:w="1229" w:type="pct"/>
            <w:shd w:val="clear" w:color="auto" w:fill="FFFFFF"/>
            <w:vAlign w:val="center"/>
          </w:tcPr>
          <w:p>
            <w:pPr>
              <w:spacing w:before="120"/>
              <w:jc w:val="center"/>
              <w:rPr>
                <w:rFonts w:ascii="Times New Roman" w:hAnsi="Times New Roman" w:cs="Times New Roman"/>
                <w:sz w:val="20"/>
                <w:lang w:val="en-US"/>
              </w:rPr>
            </w:pPr>
            <w:r>
              <w:rPr>
                <w:rFonts w:ascii="Times New Roman" w:hAnsi="Times New Roman" w:cs="Times New Roman"/>
                <w:sz w:val="20"/>
                <w:lang w:val="en-US"/>
              </w:rPr>
              <w:t>Không có</w:t>
            </w:r>
          </w:p>
        </w:tc>
        <w:tc>
          <w:tcPr>
            <w:tcW w:w="803" w:type="pct"/>
            <w:shd w:val="clear" w:color="auto" w:fill="FFFFFF"/>
            <w:vAlign w:val="center"/>
          </w:tcPr>
          <w:p>
            <w:pPr>
              <w:spacing w:before="120"/>
              <w:rPr>
                <w:rFonts w:ascii="Times New Roman" w:hAnsi="Times New Roman" w:cs="Times New Roman"/>
                <w:sz w:val="20"/>
              </w:rPr>
            </w:pPr>
          </w:p>
        </w:tc>
        <w:tc>
          <w:tcPr>
            <w:tcW w:w="1133" w:type="pct"/>
            <w:shd w:val="clear" w:color="auto" w:fill="FFFFFF"/>
            <w:vAlign w:val="center"/>
          </w:tcPr>
          <w:p>
            <w:pPr>
              <w:spacing w:before="120"/>
              <w:rPr>
                <w:rFonts w:ascii="Times New Roman" w:hAnsi="Times New Roman" w:cs="Times New Roman"/>
                <w:sz w:val="20"/>
              </w:rPr>
            </w:pPr>
          </w:p>
        </w:tc>
        <w:tc>
          <w:tcPr>
            <w:tcW w:w="1290" w:type="pct"/>
            <w:shd w:val="clear" w:color="auto" w:fill="FFFFFF"/>
            <w:vAlign w:val="center"/>
          </w:tcPr>
          <w:p>
            <w:pPr>
              <w:spacing w:before="120"/>
              <w:rPr>
                <w:rFonts w:ascii="Times New Roman" w:hAnsi="Times New Roman" w:cs="Times New Roman"/>
                <w:sz w:val="20"/>
              </w:rPr>
            </w:pPr>
          </w:p>
        </w:tc>
        <w:tc>
          <w:tcPr>
            <w:tcW w:w="294" w:type="pct"/>
            <w:shd w:val="clear" w:color="auto" w:fill="FFFFFF"/>
            <w:vAlign w:val="center"/>
          </w:tcPr>
          <w:p>
            <w:pPr>
              <w:spacing w:before="120"/>
              <w:rPr>
                <w:rFonts w:ascii="Times New Roman" w:hAnsi="Times New Roman" w:cs="Times New Roman"/>
                <w:sz w:val="20"/>
              </w:rPr>
            </w:pPr>
          </w:p>
        </w:tc>
      </w:tr>
    </w:tbl>
    <w:p>
      <w:pPr>
        <w:spacing w:before="120"/>
        <w:rPr>
          <w:rFonts w:ascii="Times New Roman" w:hAnsi="Times New Roman" w:cs="Times New Roman"/>
          <w:sz w:val="20"/>
          <w:lang w:val="en-US"/>
        </w:rPr>
      </w:pPr>
    </w:p>
    <w:p>
      <w:pPr>
        <w:spacing w:before="120"/>
        <w:rPr>
          <w:rFonts w:ascii="Times New Roman" w:hAnsi="Times New Roman" w:cs="Times New Roman"/>
          <w:sz w:val="20"/>
          <w:lang w:val="en-US"/>
        </w:rPr>
      </w:pPr>
    </w:p>
    <w:p>
      <w:pPr>
        <w:spacing w:before="120"/>
        <w:jc w:val="right"/>
        <w:rPr>
          <w:rFonts w:ascii="Times New Roman" w:hAnsi="Times New Roman" w:cs="Times New Roman"/>
          <w:b/>
          <w:sz w:val="20"/>
        </w:rPr>
      </w:pPr>
      <w:r>
        <w:rPr>
          <w:rFonts w:ascii="Times New Roman" w:hAnsi="Times New Roman" w:cs="Times New Roman"/>
          <w:b/>
          <w:sz w:val="20"/>
        </w:rPr>
        <w:t>Biểu số: 03/PCTN</w:t>
      </w:r>
    </w:p>
    <w:p>
      <w:pPr>
        <w:widowControl/>
        <w:spacing w:after="160" w:line="259" w:lineRule="auto"/>
        <w:jc w:val="center"/>
        <w:rPr>
          <w:rFonts w:ascii="Times New Roman" w:hAnsi="Times New Roman" w:cs="Times New Roman"/>
          <w:b/>
          <w:sz w:val="20"/>
        </w:rPr>
      </w:pPr>
      <w:r>
        <w:rPr>
          <w:rFonts w:ascii="Times New Roman" w:hAnsi="Times New Roman" w:cs="Times New Roman"/>
          <w:b/>
          <w:sz w:val="20"/>
        </w:rPr>
        <w:t xml:space="preserve">KẾT QUẢ PHÁT HIỆN, KHẮC PHỤC CÁC VĂN BẢN CÒN SƠ HỞ, DỄ BỊ LỢI DỤNG </w:t>
      </w:r>
      <w:r>
        <w:rPr>
          <w:rFonts w:ascii="Times New Roman" w:hAnsi="Times New Roman" w:cs="Times New Roman"/>
          <w:b/>
          <w:sz w:val="20"/>
          <w:lang w:val="en-US"/>
        </w:rPr>
        <w:br w:type="textWrapping"/>
      </w:r>
      <w:r>
        <w:rPr>
          <w:rFonts w:ascii="Times New Roman" w:hAnsi="Times New Roman" w:cs="Times New Roman"/>
          <w:b/>
          <w:sz w:val="20"/>
        </w:rPr>
        <w:t>ĐỂ THAM NHŨNG</w:t>
      </w:r>
      <w:r>
        <w:rPr>
          <w:rFonts w:ascii="Times New Roman" w:hAnsi="Times New Roman" w:cs="Times New Roman"/>
          <w:b/>
          <w:sz w:val="20"/>
          <w:vertAlign w:val="superscript"/>
        </w:rPr>
        <w:t>(*)</w:t>
      </w:r>
    </w:p>
    <w:p>
      <w:pPr>
        <w:jc w:val="center"/>
        <w:rPr>
          <w:rFonts w:hint="default" w:ascii="Times New Roman" w:hAnsi="Times New Roman" w:cs="Times New Roman"/>
          <w:i/>
          <w:lang w:val="en-US"/>
        </w:rPr>
      </w:pPr>
      <w:r>
        <w:rPr>
          <w:rFonts w:ascii="Times New Roman" w:hAnsi="Times New Roman" w:cs="Times New Roman"/>
          <w:i/>
          <w:lang w:val="en-US"/>
        </w:rPr>
        <w:t>Số liệu tính từ ngày 01/</w:t>
      </w:r>
      <w:r>
        <w:rPr>
          <w:rFonts w:hint="default" w:ascii="Times New Roman" w:hAnsi="Times New Roman" w:cs="Times New Roman"/>
          <w:i/>
          <w:lang w:val="en-US"/>
        </w:rPr>
        <w:t>3</w:t>
      </w:r>
      <w:r>
        <w:rPr>
          <w:rFonts w:ascii="Times New Roman" w:hAnsi="Times New Roman" w:cs="Times New Roman"/>
          <w:i/>
          <w:lang w:val="en-US"/>
        </w:rPr>
        <w:t>/202</w:t>
      </w:r>
      <w:r>
        <w:rPr>
          <w:rFonts w:hint="default" w:ascii="Times New Roman" w:hAnsi="Times New Roman" w:cs="Times New Roman"/>
          <w:i/>
          <w:lang w:val="en-US"/>
        </w:rPr>
        <w:t>2</w:t>
      </w:r>
      <w:r>
        <w:rPr>
          <w:rFonts w:ascii="Times New Roman" w:hAnsi="Times New Roman" w:cs="Times New Roman"/>
          <w:i/>
          <w:lang w:val="en-US"/>
        </w:rPr>
        <w:t xml:space="preserve"> đến ngày </w:t>
      </w:r>
      <w:r>
        <w:rPr>
          <w:rFonts w:hint="default" w:ascii="Times New Roman" w:hAnsi="Times New Roman" w:cs="Times New Roman"/>
          <w:i/>
          <w:lang w:val="en-US"/>
        </w:rPr>
        <w:t>30/4</w:t>
      </w:r>
      <w:r>
        <w:rPr>
          <w:rFonts w:ascii="Times New Roman" w:hAnsi="Times New Roman" w:cs="Times New Roman"/>
          <w:i/>
          <w:lang w:val="en-US"/>
        </w:rPr>
        <w:t>/202</w:t>
      </w:r>
      <w:r>
        <w:rPr>
          <w:rFonts w:hint="default" w:ascii="Times New Roman" w:hAnsi="Times New Roman" w:cs="Times New Roman"/>
          <w:i/>
          <w:lang w:val="en-US"/>
        </w:rPr>
        <w:t>2</w:t>
      </w:r>
    </w:p>
    <w:p>
      <w:pPr>
        <w:jc w:val="center"/>
        <w:rPr>
          <w:rFonts w:ascii="Times New Roman" w:hAnsi="Times New Roman" w:cs="Times New Roman"/>
          <w:i/>
          <w:lang w:val="en-US"/>
        </w:rPr>
      </w:pPr>
      <w:r>
        <w:rPr>
          <w:rFonts w:ascii="Times New Roman" w:hAnsi="Times New Roman" w:cs="Times New Roman"/>
          <w:i/>
          <w:lang w:val="en-US"/>
        </w:rPr>
        <w:t xml:space="preserve">Kèm theo Báo cáo số           /BC-SXD ngày     tháng </w:t>
      </w:r>
      <w:r>
        <w:rPr>
          <w:rFonts w:hint="default" w:ascii="Times New Roman" w:hAnsi="Times New Roman" w:cs="Times New Roman"/>
          <w:i/>
          <w:lang w:val="en-US"/>
        </w:rPr>
        <w:t>5</w:t>
      </w:r>
      <w:r>
        <w:rPr>
          <w:rFonts w:ascii="Times New Roman" w:hAnsi="Times New Roman" w:cs="Times New Roman"/>
          <w:i/>
          <w:lang w:val="en-US"/>
        </w:rPr>
        <w:t xml:space="preserve"> năm 202</w:t>
      </w:r>
      <w:r>
        <w:rPr>
          <w:rFonts w:hint="default" w:ascii="Times New Roman" w:hAnsi="Times New Roman" w:cs="Times New Roman"/>
          <w:i/>
          <w:lang w:val="en-US"/>
        </w:rPr>
        <w:t>2</w:t>
      </w:r>
      <w:r>
        <w:rPr>
          <w:rFonts w:ascii="Times New Roman" w:hAnsi="Times New Roman" w:cs="Times New Roman"/>
          <w:i/>
          <w:lang w:val="en-US"/>
        </w:rPr>
        <w:t xml:space="preserve"> của Sở Xây dựng</w:t>
      </w:r>
    </w:p>
    <w:p>
      <w:pPr>
        <w:spacing w:before="120"/>
        <w:jc w:val="center"/>
        <w:rPr>
          <w:rFonts w:ascii="Times New Roman" w:hAnsi="Times New Roman" w:cs="Times New Roman"/>
          <w:b/>
          <w:sz w:val="20"/>
          <w:lang w:val="en-US"/>
        </w:rPr>
      </w:pPr>
    </w:p>
    <w:tbl>
      <w:tblPr>
        <w:tblStyle w:val="3"/>
        <w:tblW w:w="5000" w:type="pct"/>
        <w:tblInd w:w="0" w:type="dxa"/>
        <w:tblLayout w:type="autofit"/>
        <w:tblCellMar>
          <w:top w:w="0" w:type="dxa"/>
          <w:left w:w="0" w:type="dxa"/>
          <w:bottom w:w="0" w:type="dxa"/>
          <w:right w:w="0" w:type="dxa"/>
        </w:tblCellMar>
      </w:tblPr>
      <w:tblGrid>
        <w:gridCol w:w="662"/>
        <w:gridCol w:w="1536"/>
        <w:gridCol w:w="1349"/>
        <w:gridCol w:w="1258"/>
        <w:gridCol w:w="1486"/>
        <w:gridCol w:w="1262"/>
        <w:gridCol w:w="1598"/>
        <w:gridCol w:w="498"/>
      </w:tblGrid>
      <w:tr>
        <w:tblPrEx>
          <w:tblCellMar>
            <w:top w:w="0" w:type="dxa"/>
            <w:left w:w="0" w:type="dxa"/>
            <w:bottom w:w="0" w:type="dxa"/>
            <w:right w:w="0" w:type="dxa"/>
          </w:tblCellMar>
        </w:tblPrEx>
        <w:tc>
          <w:tcPr>
            <w:tcW w:w="343" w:type="pct"/>
            <w:vMerge w:val="restar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TT</w:t>
            </w:r>
          </w:p>
        </w:tc>
        <w:tc>
          <w:tcPr>
            <w:tcW w:w="796" w:type="pct"/>
            <w:vMerge w:val="restar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Tên, số, ngày, tháng, năm</w:t>
            </w:r>
          </w:p>
        </w:tc>
        <w:tc>
          <w:tcPr>
            <w:tcW w:w="699" w:type="pct"/>
            <w:vMerge w:val="restar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Cơ quan ban hành văn bản</w:t>
            </w:r>
          </w:p>
        </w:tc>
        <w:tc>
          <w:tcPr>
            <w:tcW w:w="652" w:type="pct"/>
            <w:vMerge w:val="restar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N</w:t>
            </w:r>
            <w:r>
              <w:rPr>
                <w:rFonts w:ascii="Times New Roman" w:hAnsi="Times New Roman" w:cs="Times New Roman"/>
                <w:b/>
                <w:sz w:val="20"/>
                <w:lang w:val="en-US"/>
              </w:rPr>
              <w:t>ộ</w:t>
            </w:r>
            <w:r>
              <w:rPr>
                <w:rFonts w:ascii="Times New Roman" w:hAnsi="Times New Roman" w:cs="Times New Roman"/>
                <w:b/>
                <w:sz w:val="20"/>
              </w:rPr>
              <w:t>i dung sơ hở, dễ bị lợi dụng để tham nhũng</w:t>
            </w:r>
          </w:p>
        </w:tc>
        <w:tc>
          <w:tcPr>
            <w:tcW w:w="2252" w:type="pct"/>
            <w:gridSpan w:val="3"/>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Kết quả khắc phục</w:t>
            </w:r>
          </w:p>
        </w:tc>
        <w:tc>
          <w:tcPr>
            <w:tcW w:w="258" w:type="pct"/>
            <w:vMerge w:val="restart"/>
            <w:tcBorders>
              <w:top w:val="single" w:color="auto" w:sz="4" w:space="0"/>
              <w:left w:val="single" w:color="auto" w:sz="4" w:space="0"/>
              <w:bottom w:val="nil"/>
              <w:right w:val="single" w:color="auto" w:sz="4" w:space="0"/>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Ghi chú</w:t>
            </w:r>
          </w:p>
        </w:tc>
      </w:tr>
      <w:tr>
        <w:tblPrEx>
          <w:tblCellMar>
            <w:top w:w="0" w:type="dxa"/>
            <w:left w:w="0" w:type="dxa"/>
            <w:bottom w:w="0" w:type="dxa"/>
            <w:right w:w="0" w:type="dxa"/>
          </w:tblCellMar>
        </w:tblPrEx>
        <w:tc>
          <w:tcPr>
            <w:tcW w:w="343" w:type="pct"/>
            <w:vMerge w:val="continue"/>
            <w:tcBorders>
              <w:top w:val="nil"/>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p>
        </w:tc>
        <w:tc>
          <w:tcPr>
            <w:tcW w:w="796" w:type="pct"/>
            <w:vMerge w:val="continue"/>
            <w:tcBorders>
              <w:top w:val="nil"/>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p>
        </w:tc>
        <w:tc>
          <w:tcPr>
            <w:tcW w:w="699" w:type="pct"/>
            <w:vMerge w:val="continue"/>
            <w:tcBorders>
              <w:top w:val="nil"/>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p>
        </w:tc>
        <w:tc>
          <w:tcPr>
            <w:tcW w:w="652" w:type="pct"/>
            <w:vMerge w:val="continue"/>
            <w:tcBorders>
              <w:top w:val="nil"/>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p>
        </w:tc>
        <w:tc>
          <w:tcPr>
            <w:tcW w:w="770"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Đã được khắc phục theo thẩm quyền</w:t>
            </w:r>
          </w:p>
        </w:tc>
        <w:tc>
          <w:tcPr>
            <w:tcW w:w="654"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Chưa khắc phục xong</w:t>
            </w:r>
          </w:p>
        </w:tc>
        <w:tc>
          <w:tcPr>
            <w:tcW w:w="828"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b/>
                <w:sz w:val="20"/>
              </w:rPr>
            </w:pPr>
            <w:r>
              <w:rPr>
                <w:rFonts w:ascii="Times New Roman" w:hAnsi="Times New Roman" w:cs="Times New Roman"/>
                <w:b/>
                <w:sz w:val="20"/>
              </w:rPr>
              <w:t>Nguyên nhân của việc chưa khắc phục xong</w:t>
            </w:r>
          </w:p>
        </w:tc>
        <w:tc>
          <w:tcPr>
            <w:tcW w:w="258" w:type="pct"/>
            <w:vMerge w:val="continue"/>
            <w:tcBorders>
              <w:top w:val="nil"/>
              <w:left w:val="single" w:color="auto" w:sz="4" w:space="0"/>
              <w:bottom w:val="nil"/>
              <w:right w:val="single" w:color="auto" w:sz="4" w:space="0"/>
            </w:tcBorders>
            <w:shd w:val="clear" w:color="auto" w:fill="FFFFFF"/>
            <w:vAlign w:val="center"/>
          </w:tcPr>
          <w:p>
            <w:pPr>
              <w:spacing w:before="120"/>
              <w:jc w:val="center"/>
              <w:rPr>
                <w:rFonts w:ascii="Times New Roman" w:hAnsi="Times New Roman" w:cs="Times New Roman"/>
                <w:b/>
                <w:sz w:val="20"/>
              </w:rPr>
            </w:pPr>
          </w:p>
        </w:tc>
      </w:tr>
      <w:tr>
        <w:tblPrEx>
          <w:tblCellMar>
            <w:top w:w="0" w:type="dxa"/>
            <w:left w:w="0" w:type="dxa"/>
            <w:bottom w:w="0" w:type="dxa"/>
            <w:right w:w="0" w:type="dxa"/>
          </w:tblCellMar>
        </w:tblPrEx>
        <w:tc>
          <w:tcPr>
            <w:tcW w:w="343"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MS</w:t>
            </w:r>
          </w:p>
        </w:tc>
        <w:tc>
          <w:tcPr>
            <w:tcW w:w="796"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1</w:t>
            </w:r>
          </w:p>
        </w:tc>
        <w:tc>
          <w:tcPr>
            <w:tcW w:w="699"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2</w:t>
            </w:r>
          </w:p>
        </w:tc>
        <w:tc>
          <w:tcPr>
            <w:tcW w:w="652"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3</w:t>
            </w:r>
          </w:p>
        </w:tc>
        <w:tc>
          <w:tcPr>
            <w:tcW w:w="770"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4</w:t>
            </w:r>
          </w:p>
        </w:tc>
        <w:tc>
          <w:tcPr>
            <w:tcW w:w="654"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5</w:t>
            </w:r>
          </w:p>
        </w:tc>
        <w:tc>
          <w:tcPr>
            <w:tcW w:w="828" w:type="pct"/>
            <w:tcBorders>
              <w:top w:val="single" w:color="auto" w:sz="4" w:space="0"/>
              <w:left w:val="single" w:color="auto" w:sz="4" w:space="0"/>
              <w:bottom w:val="nil"/>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6</w:t>
            </w:r>
          </w:p>
        </w:tc>
        <w:tc>
          <w:tcPr>
            <w:tcW w:w="258" w:type="pct"/>
            <w:tcBorders>
              <w:top w:val="single" w:color="auto" w:sz="4" w:space="0"/>
              <w:left w:val="single" w:color="auto" w:sz="4" w:space="0"/>
              <w:bottom w:val="nil"/>
              <w:right w:val="single" w:color="auto" w:sz="4" w:space="0"/>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7</w:t>
            </w:r>
          </w:p>
        </w:tc>
      </w:tr>
      <w:tr>
        <w:tblPrEx>
          <w:tblCellMar>
            <w:top w:w="0" w:type="dxa"/>
            <w:left w:w="0" w:type="dxa"/>
            <w:bottom w:w="0" w:type="dxa"/>
            <w:right w:w="0" w:type="dxa"/>
          </w:tblCellMar>
        </w:tblPrEx>
        <w:tc>
          <w:tcPr>
            <w:tcW w:w="343" w:type="pct"/>
            <w:tcBorders>
              <w:top w:val="single" w:color="auto" w:sz="4" w:space="0"/>
              <w:left w:val="single" w:color="auto" w:sz="4" w:space="0"/>
              <w:bottom w:val="single" w:color="auto" w:sz="4" w:space="0"/>
              <w:right w:val="nil"/>
            </w:tcBorders>
            <w:shd w:val="clear" w:color="auto" w:fill="FFFFFF"/>
            <w:vAlign w:val="center"/>
          </w:tcPr>
          <w:p>
            <w:pPr>
              <w:spacing w:before="120"/>
              <w:jc w:val="center"/>
              <w:rPr>
                <w:rFonts w:ascii="Times New Roman" w:hAnsi="Times New Roman" w:cs="Times New Roman"/>
                <w:sz w:val="20"/>
              </w:rPr>
            </w:pPr>
            <w:r>
              <w:rPr>
                <w:rFonts w:ascii="Times New Roman" w:hAnsi="Times New Roman" w:cs="Times New Roman"/>
                <w:sz w:val="20"/>
              </w:rPr>
              <w:t>1</w:t>
            </w:r>
          </w:p>
        </w:tc>
        <w:tc>
          <w:tcPr>
            <w:tcW w:w="796" w:type="pct"/>
            <w:tcBorders>
              <w:top w:val="single" w:color="auto" w:sz="4" w:space="0"/>
              <w:left w:val="single" w:color="auto" w:sz="4" w:space="0"/>
              <w:bottom w:val="single" w:color="auto" w:sz="4" w:space="0"/>
              <w:right w:val="nil"/>
            </w:tcBorders>
            <w:shd w:val="clear" w:color="auto" w:fill="FFFFFF"/>
            <w:vAlign w:val="center"/>
          </w:tcPr>
          <w:p>
            <w:pPr>
              <w:spacing w:before="120"/>
              <w:jc w:val="center"/>
              <w:rPr>
                <w:rFonts w:ascii="Times New Roman" w:hAnsi="Times New Roman" w:cs="Times New Roman"/>
                <w:sz w:val="20"/>
                <w:lang w:val="en-US"/>
              </w:rPr>
            </w:pPr>
            <w:r>
              <w:rPr>
                <w:rFonts w:ascii="Times New Roman" w:hAnsi="Times New Roman" w:cs="Times New Roman"/>
                <w:sz w:val="20"/>
                <w:lang w:val="en-US"/>
              </w:rPr>
              <w:t>Không có</w:t>
            </w:r>
          </w:p>
        </w:tc>
        <w:tc>
          <w:tcPr>
            <w:tcW w:w="699" w:type="pct"/>
            <w:tcBorders>
              <w:top w:val="single" w:color="auto" w:sz="4" w:space="0"/>
              <w:left w:val="single" w:color="auto" w:sz="4" w:space="0"/>
              <w:bottom w:val="single" w:color="auto" w:sz="4" w:space="0"/>
              <w:right w:val="nil"/>
            </w:tcBorders>
            <w:shd w:val="clear" w:color="auto" w:fill="FFFFFF"/>
            <w:vAlign w:val="center"/>
          </w:tcPr>
          <w:p>
            <w:pPr>
              <w:spacing w:before="120"/>
              <w:rPr>
                <w:rFonts w:ascii="Times New Roman" w:hAnsi="Times New Roman" w:cs="Times New Roman"/>
                <w:sz w:val="20"/>
              </w:rPr>
            </w:pPr>
          </w:p>
        </w:tc>
        <w:tc>
          <w:tcPr>
            <w:tcW w:w="652" w:type="pct"/>
            <w:tcBorders>
              <w:top w:val="single" w:color="auto" w:sz="4" w:space="0"/>
              <w:left w:val="single" w:color="auto" w:sz="4" w:space="0"/>
              <w:bottom w:val="single" w:color="auto" w:sz="4" w:space="0"/>
              <w:right w:val="nil"/>
            </w:tcBorders>
            <w:shd w:val="clear" w:color="auto" w:fill="FFFFFF"/>
            <w:vAlign w:val="center"/>
          </w:tcPr>
          <w:p>
            <w:pPr>
              <w:spacing w:before="120"/>
              <w:rPr>
                <w:rFonts w:ascii="Times New Roman" w:hAnsi="Times New Roman" w:cs="Times New Roman"/>
                <w:sz w:val="20"/>
              </w:rPr>
            </w:pPr>
          </w:p>
        </w:tc>
        <w:tc>
          <w:tcPr>
            <w:tcW w:w="770" w:type="pct"/>
            <w:tcBorders>
              <w:top w:val="single" w:color="auto" w:sz="4" w:space="0"/>
              <w:left w:val="single" w:color="auto" w:sz="4" w:space="0"/>
              <w:bottom w:val="single" w:color="auto" w:sz="4" w:space="0"/>
              <w:right w:val="nil"/>
            </w:tcBorders>
            <w:shd w:val="clear" w:color="auto" w:fill="FFFFFF"/>
            <w:vAlign w:val="center"/>
          </w:tcPr>
          <w:p>
            <w:pPr>
              <w:spacing w:before="120"/>
              <w:rPr>
                <w:rFonts w:ascii="Times New Roman" w:hAnsi="Times New Roman" w:cs="Times New Roman"/>
                <w:sz w:val="20"/>
              </w:rPr>
            </w:pPr>
          </w:p>
        </w:tc>
        <w:tc>
          <w:tcPr>
            <w:tcW w:w="654" w:type="pct"/>
            <w:tcBorders>
              <w:top w:val="single" w:color="auto" w:sz="4" w:space="0"/>
              <w:left w:val="single" w:color="auto" w:sz="4" w:space="0"/>
              <w:bottom w:val="single" w:color="auto" w:sz="4" w:space="0"/>
              <w:right w:val="nil"/>
            </w:tcBorders>
            <w:shd w:val="clear" w:color="auto" w:fill="FFFFFF"/>
            <w:vAlign w:val="center"/>
          </w:tcPr>
          <w:p>
            <w:pPr>
              <w:spacing w:before="120"/>
              <w:rPr>
                <w:rFonts w:ascii="Times New Roman" w:hAnsi="Times New Roman" w:cs="Times New Roman"/>
                <w:sz w:val="20"/>
              </w:rPr>
            </w:pPr>
          </w:p>
        </w:tc>
        <w:tc>
          <w:tcPr>
            <w:tcW w:w="828" w:type="pct"/>
            <w:tcBorders>
              <w:top w:val="single" w:color="auto" w:sz="4" w:space="0"/>
              <w:left w:val="single" w:color="auto" w:sz="4" w:space="0"/>
              <w:bottom w:val="single" w:color="auto" w:sz="4" w:space="0"/>
              <w:right w:val="nil"/>
            </w:tcBorders>
            <w:shd w:val="clear" w:color="auto" w:fill="FFFFFF"/>
            <w:vAlign w:val="center"/>
          </w:tcPr>
          <w:p>
            <w:pPr>
              <w:spacing w:before="120"/>
              <w:rPr>
                <w:rFonts w:ascii="Times New Roman" w:hAnsi="Times New Roman" w:cs="Times New Roman"/>
                <w:sz w:val="20"/>
              </w:rPr>
            </w:pPr>
          </w:p>
        </w:tc>
        <w:tc>
          <w:tcPr>
            <w:tcW w:w="25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before="120"/>
              <w:rPr>
                <w:rFonts w:ascii="Times New Roman" w:hAnsi="Times New Roman" w:cs="Times New Roman"/>
                <w:sz w:val="20"/>
              </w:rPr>
            </w:pPr>
          </w:p>
        </w:tc>
      </w:tr>
    </w:tbl>
    <w:p>
      <w:pPr>
        <w:spacing w:before="120"/>
        <w:rPr>
          <w:rFonts w:ascii="Times New Roman" w:hAnsi="Times New Roman" w:cs="Times New Roman"/>
          <w:b/>
          <w:i/>
          <w:sz w:val="20"/>
        </w:rPr>
      </w:pPr>
      <w:r>
        <w:rPr>
          <w:rFonts w:ascii="Times New Roman" w:hAnsi="Times New Roman" w:cs="Times New Roman"/>
          <w:b/>
          <w:i/>
          <w:sz w:val="20"/>
        </w:rPr>
        <w:t>Hướng dẫn cách ghi biểu:</w:t>
      </w:r>
    </w:p>
    <w:p>
      <w:pPr>
        <w:spacing w:before="120"/>
        <w:rPr>
          <w:rFonts w:ascii="Times New Roman" w:hAnsi="Times New Roman" w:cs="Times New Roman"/>
          <w:sz w:val="20"/>
        </w:rPr>
      </w:pPr>
      <w:r>
        <w:rPr>
          <w:rFonts w:ascii="Times New Roman" w:hAnsi="Times New Roman" w:cs="Times New Roman"/>
          <w:sz w:val="20"/>
          <w:vertAlign w:val="superscript"/>
        </w:rPr>
        <w:t>(*)</w:t>
      </w:r>
      <w:r>
        <w:rPr>
          <w:rFonts w:ascii="Times New Roman" w:hAnsi="Times New Roman" w:cs="Times New Roman"/>
          <w:sz w:val="20"/>
        </w:rPr>
        <w:t xml:space="preserve"> Phát hiện qua công tác thanh tra, kiểm tra, điều tra, truy tố xét xử, theo dõi thi hành pháp luật, kiểm tra văn bản quy phạm pháp luật</w:t>
      </w:r>
    </w:p>
    <w:p>
      <w:pPr>
        <w:spacing w:before="120"/>
        <w:rPr>
          <w:rFonts w:ascii="Times New Roman" w:hAnsi="Times New Roman" w:cs="Times New Roman"/>
          <w:sz w:val="20"/>
        </w:rPr>
      </w:pPr>
      <w:r>
        <w:rPr>
          <w:rFonts w:ascii="Times New Roman" w:hAnsi="Times New Roman" w:cs="Times New Roman"/>
          <w:sz w:val="20"/>
        </w:rPr>
        <w:t>- Cột (4), (5): Điền dấu "x"</w:t>
      </w:r>
    </w:p>
    <w:p>
      <w:pPr>
        <w:spacing w:before="120"/>
        <w:rPr>
          <w:rFonts w:ascii="Times New Roman" w:hAnsi="Times New Roman" w:cs="Times New Roman"/>
          <w:sz w:val="20"/>
        </w:rPr>
      </w:pPr>
      <w:r>
        <w:rPr>
          <w:rFonts w:ascii="Times New Roman" w:hAnsi="Times New Roman" w:cs="Times New Roman"/>
          <w:sz w:val="20"/>
        </w:rPr>
        <w:t>- Cột (6): Nhập nội dung khi tích "x" tại Cột (5)</w:t>
      </w:r>
    </w:p>
    <w:p>
      <w:pPr>
        <w:rPr>
          <w:rFonts w:ascii="Times New Roman" w:hAnsi="Times New Roman" w:cs="Times New Roman"/>
        </w:rPr>
      </w:pPr>
    </w:p>
    <w:sectPr>
      <w:headerReference r:id="rId5" w:type="default"/>
      <w:pgSz w:w="11907" w:h="16840"/>
      <w:pgMar w:top="1134" w:right="1134" w:bottom="1134" w:left="1134"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before="0" w:after="0" w:line="240" w:lineRule="auto"/>
      </w:pPr>
      <w:r>
        <w:separator/>
      </w:r>
    </w:p>
  </w:footnote>
  <w:footnote w:type="continuationSeparator" w:id="5">
    <w:p>
      <w:pPr>
        <w:spacing w:before="0" w:after="0" w:line="240" w:lineRule="auto"/>
      </w:pPr>
      <w:r>
        <w:continuationSeparator/>
      </w:r>
    </w:p>
  </w:footnote>
  <w:footnote w:id="0">
    <w:p>
      <w:pPr>
        <w:keepNext w:val="0"/>
        <w:keepLines w:val="0"/>
        <w:pageBreakBefore w:val="0"/>
        <w:widowControl/>
        <w:kinsoku/>
        <w:wordWrap/>
        <w:overflowPunct/>
        <w:topLinePunct w:val="0"/>
        <w:autoSpaceDE/>
        <w:autoSpaceDN/>
        <w:bidi w:val="0"/>
        <w:adjustRightInd/>
        <w:snapToGrid/>
        <w:spacing w:before="120" w:after="120" w:line="276" w:lineRule="auto"/>
        <w:jc w:val="both"/>
        <w:textAlignment w:val="auto"/>
        <w:rPr>
          <w:rFonts w:hint="default" w:ascii="Times New Roman" w:hAnsi="Times New Roman" w:cs="Times New Roman"/>
          <w:color w:val="000000" w:themeColor="text1"/>
          <w:sz w:val="20"/>
          <w:szCs w:val="20"/>
          <w:lang w:val="en-US"/>
          <w14:textFill>
            <w14:solidFill>
              <w14:schemeClr w14:val="tx1"/>
            </w14:solidFill>
          </w14:textFill>
        </w:rPr>
      </w:pPr>
      <w:r>
        <w:rPr>
          <w:rStyle w:val="6"/>
          <w:rFonts w:hint="default" w:ascii="Times New Roman" w:hAnsi="Times New Roman" w:cs="Times New Roman"/>
          <w:sz w:val="20"/>
          <w:szCs w:val="20"/>
        </w:rPr>
        <w:footnoteRef/>
      </w:r>
      <w:r>
        <w:rPr>
          <w:rFonts w:hint="default" w:ascii="Times New Roman" w:hAnsi="Times New Roman" w:cs="Times New Roman"/>
          <w:sz w:val="20"/>
          <w:szCs w:val="20"/>
        </w:rPr>
        <w:t xml:space="preserve"> </w:t>
      </w:r>
      <w:r>
        <w:rPr>
          <w:rFonts w:hint="default" w:ascii="Times New Roman" w:hAnsi="Times New Roman" w:cs="Times New Roman"/>
          <w:color w:val="000000"/>
          <w:sz w:val="20"/>
          <w:szCs w:val="20"/>
          <w:highlight w:val="none"/>
          <w:lang w:val="en-US"/>
        </w:rPr>
        <w:t xml:space="preserve"> </w:t>
      </w:r>
      <w:r>
        <w:rPr>
          <w:rFonts w:hint="default" w:ascii="Times New Roman" w:hAnsi="Times New Roman" w:cs="Times New Roman"/>
          <w:b w:val="0"/>
          <w:bCs w:val="0"/>
          <w:color w:val="000000"/>
          <w:sz w:val="20"/>
          <w:szCs w:val="20"/>
        </w:rPr>
        <w:t>Kế hoạch thanh, kiểm tra việc thực hiện các quy định pháp luật về phòng, chống tham nhũng năm 2022 của Sở Xây dựng tỉnh Tây Ninh</w:t>
      </w:r>
      <w:r>
        <w:rPr>
          <w:rFonts w:hint="default" w:ascii="Times New Roman" w:hAnsi="Times New Roman" w:cs="Times New Roman"/>
          <w:b w:val="0"/>
          <w:bCs w:val="0"/>
          <w:color w:val="000000"/>
          <w:sz w:val="20"/>
          <w:szCs w:val="20"/>
          <w:lang w:val="en-US"/>
        </w:rPr>
        <w:t xml:space="preserve"> (Quyết định số 34/QĐ-SXD ngày 31/3/2022); Kế hoạch triển khai thực hiện Đề án “Nâng cao chất lượng công tác tiếp công dân, gắn với thực hiện Cơ sở dữ liệu Quốc gia về tiếp công dân, giải quyết khiếu nại, tố cáo giai đoạn 2021 - 2025” (Kế hoạch số 768/KH-SXD ngày 4/4/2022).</w:t>
      </w:r>
    </w:p>
  </w:footnote>
  <w:footnote w:id="1">
    <w:p>
      <w:pPr>
        <w:pStyle w:val="7"/>
        <w:jc w:val="both"/>
        <w:rPr>
          <w:rFonts w:ascii="Times New Roman" w:hAnsi="Times New Roman" w:cs="Times New Roman"/>
          <w:lang w:val="en-US"/>
        </w:rPr>
      </w:pPr>
      <w:r>
        <w:rPr>
          <w:rStyle w:val="6"/>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color w:val="001A33"/>
          <w:shd w:val="clear" w:color="auto" w:fill="FFFFFF" w:themeFill="background1"/>
        </w:rPr>
        <w:t>Quyết định số 2643/QĐ-UBND ngày 15/10/2021 của UBND tỉnh về việc Công bố Danh mục và Quy trình nội bộ giải quyết thủ tục hành chính thuộc thẩm quyền giải quyết của ngành Xây dựng tỉnh Tây Ninh</w:t>
      </w:r>
      <w:r>
        <w:rPr>
          <w:rFonts w:hint="default" w:ascii="Times New Roman" w:hAnsi="Times New Roman" w:cs="Times New Roman"/>
          <w:color w:val="001A33"/>
          <w:shd w:val="clear" w:color="auto" w:fill="FFFFFF" w:themeFill="background1"/>
          <w:lang w:val="en-US"/>
        </w:rPr>
        <w:t xml:space="preserve">; </w:t>
      </w:r>
      <w:r>
        <w:rPr>
          <w:rFonts w:ascii="Times New Roman" w:hAnsi="Times New Roman" w:cs="Times New Roman"/>
          <w:color w:val="001A33"/>
          <w:shd w:val="clear" w:color="auto" w:fill="FFFFFF" w:themeFill="background1"/>
        </w:rPr>
        <w:t>Quyết định số 2643/QĐ-UBND ngày 15/10/2021 của UBND tỉnh về việc Công bố Danh mục và Quy trình nội bộ giải quyết thủ tục hành chính thuộc thẩm quyền giải quyết của ngành Xây dựng tỉnh Tây Ninh.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643196"/>
      <w:docPartObj>
        <w:docPartGallery w:val="autotext"/>
      </w:docPartObj>
    </w:sdtPr>
    <w:sdtContent>
      <w:p>
        <w:pPr>
          <w:pStyle w:val="8"/>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p>
    </w:sdtContent>
  </w:sdt>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drawingGridHorizontalSpacing w:val="120"/>
  <w:displayHorizontalDrawingGridEvery w:val="2"/>
  <w:displayVerticalDrawingGridEvery w:val="2"/>
  <w:characterSpacingControl w:val="doNotCompress"/>
  <w:footnotePr>
    <w:footnote w:id="4"/>
    <w:footnote w:id="5"/>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98C"/>
    <w:rsid w:val="000A4BD7"/>
    <w:rsid w:val="000D5BC5"/>
    <w:rsid w:val="000E555E"/>
    <w:rsid w:val="001F5512"/>
    <w:rsid w:val="00237A1D"/>
    <w:rsid w:val="002A060E"/>
    <w:rsid w:val="002B6193"/>
    <w:rsid w:val="00313D48"/>
    <w:rsid w:val="0034350F"/>
    <w:rsid w:val="00344A26"/>
    <w:rsid w:val="003917B6"/>
    <w:rsid w:val="00410F12"/>
    <w:rsid w:val="00531B77"/>
    <w:rsid w:val="005416B1"/>
    <w:rsid w:val="00557562"/>
    <w:rsid w:val="00577159"/>
    <w:rsid w:val="005A3944"/>
    <w:rsid w:val="006328C0"/>
    <w:rsid w:val="00655CE5"/>
    <w:rsid w:val="006634F6"/>
    <w:rsid w:val="0075698C"/>
    <w:rsid w:val="007661E2"/>
    <w:rsid w:val="00781A94"/>
    <w:rsid w:val="007A773B"/>
    <w:rsid w:val="00910354"/>
    <w:rsid w:val="00947241"/>
    <w:rsid w:val="00973DD9"/>
    <w:rsid w:val="009F56F2"/>
    <w:rsid w:val="00A6099E"/>
    <w:rsid w:val="00A73ECA"/>
    <w:rsid w:val="00B91B38"/>
    <w:rsid w:val="00BA070D"/>
    <w:rsid w:val="00BE2FAA"/>
    <w:rsid w:val="00C658DD"/>
    <w:rsid w:val="00D30FB6"/>
    <w:rsid w:val="00D75A4A"/>
    <w:rsid w:val="00DB6777"/>
    <w:rsid w:val="00DC677E"/>
    <w:rsid w:val="00E32C89"/>
    <w:rsid w:val="00ED086F"/>
    <w:rsid w:val="00F34555"/>
    <w:rsid w:val="00F56B26"/>
    <w:rsid w:val="00FA4055"/>
    <w:rsid w:val="00FF29F7"/>
    <w:rsid w:val="043C565B"/>
    <w:rsid w:val="1CE871FD"/>
    <w:rsid w:val="39686AB0"/>
    <w:rsid w:val="5A523A57"/>
    <w:rsid w:val="772826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pPr>
    <w:rPr>
      <w:rFonts w:ascii="Arial Unicode MS" w:hAnsi="Arial Unicode MS" w:eastAsia="Arial Unicode MS" w:cs="Arial Unicode MS"/>
      <w:color w:val="000000"/>
      <w:sz w:val="24"/>
      <w:szCs w:val="24"/>
      <w:lang w:val="vi-VN" w:eastAsia="vi-V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rPr>
      <w:rFonts w:ascii="Segoe UI" w:hAnsi="Segoe UI" w:cs="Segoe UI"/>
      <w:sz w:val="18"/>
      <w:szCs w:val="18"/>
    </w:rPr>
  </w:style>
  <w:style w:type="paragraph" w:styleId="5">
    <w:name w:val="footer"/>
    <w:basedOn w:val="1"/>
    <w:link w:val="11"/>
    <w:semiHidden/>
    <w:unhideWhenUsed/>
    <w:qFormat/>
    <w:uiPriority w:val="99"/>
    <w:pPr>
      <w:tabs>
        <w:tab w:val="center" w:pos="4680"/>
        <w:tab w:val="right" w:pos="9360"/>
      </w:tabs>
    </w:pPr>
  </w:style>
  <w:style w:type="character" w:styleId="6">
    <w:name w:val="footnote reference"/>
    <w:basedOn w:val="2"/>
    <w:semiHidden/>
    <w:unhideWhenUsed/>
    <w:qFormat/>
    <w:uiPriority w:val="99"/>
    <w:rPr>
      <w:vertAlign w:val="superscript"/>
    </w:rPr>
  </w:style>
  <w:style w:type="paragraph" w:styleId="7">
    <w:name w:val="footnote text"/>
    <w:basedOn w:val="1"/>
    <w:link w:val="9"/>
    <w:semiHidden/>
    <w:unhideWhenUsed/>
    <w:qFormat/>
    <w:uiPriority w:val="99"/>
    <w:rPr>
      <w:sz w:val="20"/>
      <w:szCs w:val="20"/>
    </w:rPr>
  </w:style>
  <w:style w:type="paragraph" w:styleId="8">
    <w:name w:val="header"/>
    <w:basedOn w:val="1"/>
    <w:link w:val="10"/>
    <w:unhideWhenUsed/>
    <w:qFormat/>
    <w:uiPriority w:val="99"/>
    <w:pPr>
      <w:tabs>
        <w:tab w:val="center" w:pos="4680"/>
        <w:tab w:val="right" w:pos="9360"/>
      </w:tabs>
    </w:pPr>
  </w:style>
  <w:style w:type="character" w:customStyle="1" w:styleId="9">
    <w:name w:val="Footnote Text Char"/>
    <w:basedOn w:val="2"/>
    <w:link w:val="7"/>
    <w:semiHidden/>
    <w:qFormat/>
    <w:uiPriority w:val="99"/>
    <w:rPr>
      <w:rFonts w:ascii="Arial Unicode MS" w:hAnsi="Arial Unicode MS" w:eastAsia="Arial Unicode MS" w:cs="Arial Unicode MS"/>
      <w:color w:val="000000"/>
      <w:sz w:val="20"/>
      <w:szCs w:val="20"/>
      <w:lang w:val="vi-VN" w:eastAsia="vi-VN"/>
    </w:rPr>
  </w:style>
  <w:style w:type="character" w:customStyle="1" w:styleId="10">
    <w:name w:val="Header Char"/>
    <w:basedOn w:val="2"/>
    <w:link w:val="8"/>
    <w:qFormat/>
    <w:uiPriority w:val="99"/>
    <w:rPr>
      <w:rFonts w:ascii="Arial Unicode MS" w:hAnsi="Arial Unicode MS" w:eastAsia="Arial Unicode MS" w:cs="Arial Unicode MS"/>
      <w:color w:val="000000"/>
      <w:szCs w:val="24"/>
      <w:lang w:val="vi-VN" w:eastAsia="vi-VN"/>
    </w:rPr>
  </w:style>
  <w:style w:type="character" w:customStyle="1" w:styleId="11">
    <w:name w:val="Footer Char"/>
    <w:basedOn w:val="2"/>
    <w:link w:val="5"/>
    <w:semiHidden/>
    <w:uiPriority w:val="99"/>
    <w:rPr>
      <w:rFonts w:ascii="Arial Unicode MS" w:hAnsi="Arial Unicode MS" w:eastAsia="Arial Unicode MS" w:cs="Arial Unicode MS"/>
      <w:color w:val="000000"/>
      <w:szCs w:val="24"/>
      <w:lang w:val="vi-VN" w:eastAsia="vi-VN"/>
    </w:rPr>
  </w:style>
  <w:style w:type="character" w:customStyle="1" w:styleId="12">
    <w:name w:val="Balloon Text Char"/>
    <w:basedOn w:val="2"/>
    <w:link w:val="4"/>
    <w:semiHidden/>
    <w:qFormat/>
    <w:uiPriority w:val="99"/>
    <w:rPr>
      <w:rFonts w:ascii="Segoe UI" w:hAnsi="Segoe UI" w:eastAsia="Arial Unicode MS" w:cs="Segoe UI"/>
      <w:color w:val="000000"/>
      <w:sz w:val="18"/>
      <w:szCs w:val="18"/>
      <w:lang w:val="vi-VN" w:eastAsia="vi-V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4F5C1-EBE0-46DA-BA1B-68934B09FA4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2033</Words>
  <Characters>11589</Characters>
  <Lines>96</Lines>
  <Paragraphs>27</Paragraphs>
  <TotalTime>5</TotalTime>
  <ScaleCrop>false</ScaleCrop>
  <LinksUpToDate>false</LinksUpToDate>
  <CharactersWithSpaces>13595</CharactersWithSpaces>
  <Application>WPS Office_11.2.0.11074_F1E327BC-269C-435d-A152-05C5408002CA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2021-06-07T01:34:00Z</dcterms:created>
  <dc:creator>AutoBVT</dc:creator>
  <cp:lastModifiedBy>Kim Nguyễn Ngọc Thiên</cp:lastModifiedBy>
  <cp:lastPrinted>2022-05-09T02:42:36Z</cp:lastPrinted>
  <dcterms:modified xsi:type="dcterms:W3CDTF">2022-05-09T06:51:16Z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1033-11.2.0.11074</vt:lpwstr>
  </property>
  <property fmtid="{D5CDD505-2E9C-101B-9397-08002B2CF9AE}" pid="3" name="ICV">
    <vt:lpwstr>C095A087B5A74473956C99CB81DFC11C</vt:lpwstr>
  </property>
</Properties>
</file>